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A3" w:rsidRDefault="00C13805" w:rsidP="0060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Stéphane BENILSI</w:t>
      </w:r>
    </w:p>
    <w:p w:rsidR="00F707E8" w:rsidRDefault="00F707E8" w:rsidP="0060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05" w:rsidRDefault="00120151" w:rsidP="0060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Maître de conférences</w:t>
      </w:r>
      <w:r w:rsidR="00B732DB">
        <w:rPr>
          <w:rFonts w:ascii="Times New Roman" w:hAnsi="Times New Roman" w:cs="Times New Roman"/>
          <w:sz w:val="24"/>
          <w:szCs w:val="24"/>
        </w:rPr>
        <w:t xml:space="preserve"> - HDR</w:t>
      </w:r>
      <w:r>
        <w:rPr>
          <w:rFonts w:ascii="Times New Roman" w:hAnsi="Times New Roman" w:cs="Times New Roman"/>
          <w:sz w:val="24"/>
          <w:szCs w:val="24"/>
        </w:rPr>
        <w:t xml:space="preserve"> en droit privé</w:t>
      </w:r>
    </w:p>
    <w:p w:rsidR="00120151" w:rsidRDefault="00120151" w:rsidP="0060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Montpellier 1 – Faculté de Droit et Science Politique</w:t>
      </w:r>
    </w:p>
    <w:p w:rsidR="00120151" w:rsidRDefault="00120151" w:rsidP="0060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Laboratoire de Droit privé (EA707)</w:t>
      </w:r>
    </w:p>
    <w:p w:rsidR="00585061" w:rsidRDefault="00585061" w:rsidP="0060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61" w:rsidRDefault="00585061" w:rsidP="00600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 rue de l’Université – 34060 Montpellier Cedex 2</w:t>
      </w:r>
    </w:p>
    <w:p w:rsidR="00120151" w:rsidRPr="00585061" w:rsidRDefault="00585061" w:rsidP="00600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04.34.43.30.05</w:t>
      </w:r>
    </w:p>
    <w:p w:rsidR="00F707E8" w:rsidRPr="00585061" w:rsidRDefault="00585061" w:rsidP="00600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5061">
        <w:rPr>
          <w:rFonts w:ascii="Times New Roman" w:hAnsi="Times New Roman" w:cs="Times New Roman"/>
          <w:sz w:val="20"/>
          <w:szCs w:val="20"/>
        </w:rPr>
        <w:t>stephane.benilsi@univ-montp1.fr</w:t>
      </w:r>
    </w:p>
    <w:p w:rsidR="00F707E8" w:rsidRDefault="00F707E8" w:rsidP="0060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61" w:rsidRPr="007D63DF" w:rsidRDefault="00585061" w:rsidP="0060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7E8" w:rsidRPr="00600A43" w:rsidRDefault="00585061" w:rsidP="00F707E8">
      <w:pPr>
        <w:pBdr>
          <w:bottom w:val="threeDEmboss" w:sz="12" w:space="1" w:color="7F7F7F" w:themeColor="text1" w:themeTint="8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DIPLÔ</w:t>
      </w:r>
      <w:r w:rsidR="00F707E8" w:rsidRPr="00600A43">
        <w:rPr>
          <w:rFonts w:ascii="Times New Roman" w:hAnsi="Times New Roman" w:cs="Times New Roman"/>
          <w:b/>
          <w:i/>
          <w:sz w:val="28"/>
          <w:szCs w:val="28"/>
        </w:rPr>
        <w:t>MES ET TITRES UNIVERSITAIRES</w:t>
      </w:r>
    </w:p>
    <w:p w:rsidR="00F707E8" w:rsidRPr="00940663" w:rsidRDefault="00F707E8" w:rsidP="00F707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09A7" w:rsidRDefault="000109A7" w:rsidP="00F707E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 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Habilitation à diriger des recherches, </w:t>
      </w:r>
      <w:r>
        <w:rPr>
          <w:rFonts w:ascii="Times New Roman" w:hAnsi="Times New Roman" w:cs="Times New Roman"/>
          <w:sz w:val="24"/>
          <w:szCs w:val="24"/>
        </w:rPr>
        <w:t>Université Montpellier 1</w:t>
      </w:r>
      <w:r w:rsidR="00812D11">
        <w:rPr>
          <w:rFonts w:ascii="Times New Roman" w:hAnsi="Times New Roman" w:cs="Times New Roman"/>
          <w:sz w:val="24"/>
          <w:szCs w:val="24"/>
        </w:rPr>
        <w:t xml:space="preserve">, Jury composé des Professeurs Rémy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Cabrillac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, Françoise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Pérochon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, Anne Pélissier (Montpellier 1) ; Arnaud Martinon (Paris II), Laura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Sautonie-Laguionie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 (Bordeaux IV), Emmanuel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Putman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 (Aix-Marseille)</w:t>
      </w:r>
    </w:p>
    <w:p w:rsidR="00F707E8" w:rsidRDefault="00F707E8" w:rsidP="00F707E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 : </w:t>
      </w:r>
      <w:r w:rsidRPr="00E36F80">
        <w:rPr>
          <w:rFonts w:ascii="Times New Roman" w:hAnsi="Times New Roman" w:cs="Times New Roman"/>
          <w:b/>
          <w:i/>
          <w:sz w:val="24"/>
          <w:szCs w:val="24"/>
        </w:rPr>
        <w:t>Qualification aux fonctions de maître de conférences</w:t>
      </w:r>
      <w:r>
        <w:rPr>
          <w:rFonts w:ascii="Times New Roman" w:hAnsi="Times New Roman" w:cs="Times New Roman"/>
          <w:sz w:val="24"/>
          <w:szCs w:val="24"/>
        </w:rPr>
        <w:t>, Section 01 (Droit privé et Sciences criminelles)</w:t>
      </w:r>
    </w:p>
    <w:p w:rsidR="00F707E8" w:rsidRPr="005E2CE7" w:rsidRDefault="00F707E8" w:rsidP="00F707E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E7">
        <w:rPr>
          <w:rFonts w:ascii="Times New Roman" w:hAnsi="Times New Roman" w:cs="Times New Roman"/>
          <w:sz w:val="24"/>
          <w:szCs w:val="24"/>
        </w:rPr>
        <w:t xml:space="preserve">2006 : </w:t>
      </w:r>
      <w:r w:rsidRPr="005E2CE7">
        <w:rPr>
          <w:rFonts w:ascii="Times New Roman" w:hAnsi="Times New Roman" w:cs="Times New Roman"/>
          <w:b/>
          <w:i/>
          <w:sz w:val="24"/>
          <w:szCs w:val="24"/>
        </w:rPr>
        <w:t>Doctorat en droit privé et sciences criminelles</w:t>
      </w:r>
      <w:r w:rsidRPr="005E2CE7">
        <w:rPr>
          <w:rFonts w:ascii="Times New Roman" w:hAnsi="Times New Roman" w:cs="Times New Roman"/>
          <w:sz w:val="24"/>
          <w:szCs w:val="24"/>
        </w:rPr>
        <w:t xml:space="preserve"> (Université Montpellier 1)</w:t>
      </w:r>
      <w:r>
        <w:rPr>
          <w:rFonts w:ascii="Times New Roman" w:hAnsi="Times New Roman" w:cs="Times New Roman"/>
          <w:sz w:val="24"/>
          <w:szCs w:val="24"/>
        </w:rPr>
        <w:t>, mention très honorable, Félicitations du jury. Prix de thèse de la Faculté de Droit de Montpellier (2007) – Prix de thèse de l’ARNU Montpellier-Nîmes-Avignon-Perpignan (2007)</w:t>
      </w:r>
      <w:r w:rsidR="00812D11">
        <w:rPr>
          <w:rFonts w:ascii="Times New Roman" w:hAnsi="Times New Roman" w:cs="Times New Roman"/>
          <w:sz w:val="24"/>
          <w:szCs w:val="24"/>
        </w:rPr>
        <w:t xml:space="preserve">. Jury composé des Professeurs François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Collart-Dutilleul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 (Université de Nantes), Hervé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Lécuyer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 (Université Paris II), Jacques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Raynard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 (Université Montpellier 1), Marie-Laure-Mathieu (Université Montpellier 1) et de M. Stéphane </w:t>
      </w:r>
      <w:proofErr w:type="spellStart"/>
      <w:r w:rsidR="00812D11">
        <w:rPr>
          <w:rFonts w:ascii="Times New Roman" w:hAnsi="Times New Roman" w:cs="Times New Roman"/>
          <w:sz w:val="24"/>
          <w:szCs w:val="24"/>
        </w:rPr>
        <w:t>Darmaisin</w:t>
      </w:r>
      <w:proofErr w:type="spellEnd"/>
      <w:r w:rsidR="00812D11">
        <w:rPr>
          <w:rFonts w:ascii="Times New Roman" w:hAnsi="Times New Roman" w:cs="Times New Roman"/>
          <w:sz w:val="24"/>
          <w:szCs w:val="24"/>
        </w:rPr>
        <w:t xml:space="preserve"> (Université de Nîmes).</w:t>
      </w:r>
    </w:p>
    <w:p w:rsidR="00F707E8" w:rsidRDefault="00F707E8" w:rsidP="00F707E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CCA">
        <w:rPr>
          <w:rFonts w:ascii="Times New Roman" w:hAnsi="Times New Roman" w:cs="Times New Roman"/>
          <w:sz w:val="24"/>
          <w:szCs w:val="24"/>
        </w:rPr>
        <w:t>2001 </w:t>
      </w:r>
      <w:r w:rsidRPr="005E2CE7">
        <w:rPr>
          <w:rFonts w:ascii="Times New Roman" w:hAnsi="Times New Roman" w:cs="Times New Roman"/>
          <w:sz w:val="24"/>
          <w:szCs w:val="24"/>
        </w:rPr>
        <w:t xml:space="preserve">: </w:t>
      </w:r>
      <w:r w:rsidRPr="005E2CE7">
        <w:rPr>
          <w:rFonts w:ascii="Times New Roman" w:hAnsi="Times New Roman" w:cs="Times New Roman"/>
          <w:b/>
          <w:i/>
          <w:sz w:val="24"/>
          <w:szCs w:val="24"/>
        </w:rPr>
        <w:t>DEA Droit Privé Fondamental</w:t>
      </w:r>
      <w:r w:rsidRPr="005E2CE7">
        <w:rPr>
          <w:rFonts w:ascii="Times New Roman" w:hAnsi="Times New Roman" w:cs="Times New Roman"/>
          <w:sz w:val="24"/>
          <w:szCs w:val="24"/>
        </w:rPr>
        <w:t>, Université Montpellier 1, Mention Bien</w:t>
      </w:r>
    </w:p>
    <w:p w:rsidR="00600A43" w:rsidRDefault="00600A43" w:rsidP="00600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4D" w:rsidRPr="00600A43" w:rsidRDefault="003E024D" w:rsidP="00600A43">
      <w:pPr>
        <w:pBdr>
          <w:bottom w:val="threeDEmboss" w:sz="12" w:space="1" w:color="7F7F7F" w:themeColor="text1" w:themeTint="8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A43">
        <w:rPr>
          <w:rFonts w:ascii="Times New Roman" w:hAnsi="Times New Roman" w:cs="Times New Roman"/>
          <w:b/>
          <w:i/>
          <w:sz w:val="28"/>
          <w:szCs w:val="28"/>
        </w:rPr>
        <w:t>RESPONSABILITÉS ADMINISTRATIVES</w:t>
      </w:r>
    </w:p>
    <w:p w:rsidR="00940663" w:rsidRPr="005E2CE7" w:rsidRDefault="00940663" w:rsidP="009406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70" w:rsidRDefault="007A7B70" w:rsidP="000C11BF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février 2014 : élu au Conseil de l’UFR Droit et Science politique, Université Montpellier 1</w:t>
      </w:r>
    </w:p>
    <w:p w:rsidR="003E024D" w:rsidRPr="000C11BF" w:rsidRDefault="000C11BF" w:rsidP="000C11BF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septembre 2011 : </w:t>
      </w:r>
      <w:r w:rsidR="003E024D" w:rsidRPr="000C11BF">
        <w:rPr>
          <w:rFonts w:ascii="Times New Roman" w:hAnsi="Times New Roman" w:cs="Times New Roman"/>
          <w:sz w:val="24"/>
          <w:szCs w:val="24"/>
        </w:rPr>
        <w:t>Directe</w:t>
      </w:r>
      <w:r w:rsidR="00600A43" w:rsidRPr="000C11BF">
        <w:rPr>
          <w:rFonts w:ascii="Times New Roman" w:hAnsi="Times New Roman" w:cs="Times New Roman"/>
          <w:sz w:val="24"/>
          <w:szCs w:val="24"/>
        </w:rPr>
        <w:t xml:space="preserve">ur de la </w:t>
      </w:r>
      <w:r w:rsidR="00600A43" w:rsidRPr="00F707E8">
        <w:rPr>
          <w:rFonts w:ascii="Times New Roman" w:hAnsi="Times New Roman" w:cs="Times New Roman"/>
          <w:b/>
          <w:sz w:val="24"/>
          <w:szCs w:val="24"/>
        </w:rPr>
        <w:t>Licence professionnelle</w:t>
      </w:r>
      <w:r w:rsidR="008F061E" w:rsidRPr="00F7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4D" w:rsidRPr="00F707E8">
        <w:rPr>
          <w:rFonts w:ascii="Times New Roman" w:hAnsi="Times New Roman" w:cs="Times New Roman"/>
          <w:b/>
          <w:i/>
          <w:sz w:val="24"/>
          <w:szCs w:val="24"/>
        </w:rPr>
        <w:t>Métiers du Notariat</w:t>
      </w:r>
      <w:r w:rsidR="007A7B70">
        <w:rPr>
          <w:rFonts w:ascii="Times New Roman" w:hAnsi="Times New Roman" w:cs="Times New Roman"/>
          <w:sz w:val="24"/>
          <w:szCs w:val="24"/>
        </w:rPr>
        <w:t>, Université Montpellier 1</w:t>
      </w:r>
    </w:p>
    <w:p w:rsidR="00600A43" w:rsidRPr="007D63DF" w:rsidRDefault="00600A43" w:rsidP="009406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05" w:rsidRPr="00940663" w:rsidRDefault="007A184C" w:rsidP="005E2CE7">
      <w:pPr>
        <w:pBdr>
          <w:bottom w:val="threeDEmboss" w:sz="12" w:space="1" w:color="7F7F7F" w:themeColor="text1" w:themeTint="8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663">
        <w:rPr>
          <w:rFonts w:ascii="Times New Roman" w:hAnsi="Times New Roman" w:cs="Times New Roman"/>
          <w:b/>
          <w:i/>
          <w:sz w:val="28"/>
          <w:szCs w:val="28"/>
        </w:rPr>
        <w:t>PUBLICATIONS</w:t>
      </w:r>
    </w:p>
    <w:p w:rsidR="00940663" w:rsidRDefault="00940663" w:rsidP="00940663">
      <w:pPr>
        <w:pStyle w:val="Paragraphedeliste"/>
        <w:spacing w:after="360"/>
        <w:ind w:left="7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0663" w:rsidRDefault="007A184C" w:rsidP="00940663">
      <w:pPr>
        <w:pStyle w:val="Paragraphedeliste"/>
        <w:numPr>
          <w:ilvl w:val="0"/>
          <w:numId w:val="1"/>
        </w:numPr>
        <w:spacing w:after="360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663">
        <w:rPr>
          <w:rFonts w:ascii="Times New Roman" w:hAnsi="Times New Roman" w:cs="Times New Roman"/>
          <w:b/>
          <w:i/>
          <w:sz w:val="24"/>
          <w:szCs w:val="24"/>
        </w:rPr>
        <w:t>Ouvrages</w:t>
      </w:r>
    </w:p>
    <w:p w:rsidR="00A72B42" w:rsidRDefault="00A72B42" w:rsidP="0094066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7BC">
        <w:rPr>
          <w:rFonts w:ascii="Times New Roman" w:hAnsi="Times New Roman" w:cs="Times New Roman"/>
          <w:i/>
          <w:sz w:val="24"/>
          <w:szCs w:val="24"/>
        </w:rPr>
        <w:t>Droit des biens, Exercices pratiques,</w:t>
      </w:r>
      <w:r>
        <w:rPr>
          <w:rFonts w:ascii="Times New Roman" w:hAnsi="Times New Roman" w:cs="Times New Roman"/>
          <w:sz w:val="24"/>
          <w:szCs w:val="24"/>
        </w:rPr>
        <w:t xml:space="preserve"> en collaboration avec le Pr. Louis-Frédéric </w:t>
      </w:r>
      <w:proofErr w:type="spellStart"/>
      <w:r>
        <w:rPr>
          <w:rFonts w:ascii="Times New Roman" w:hAnsi="Times New Roman" w:cs="Times New Roman"/>
          <w:sz w:val="24"/>
          <w:szCs w:val="24"/>
        </w:rPr>
        <w:t>Pignarre</w:t>
      </w:r>
      <w:proofErr w:type="spellEnd"/>
      <w:r>
        <w:rPr>
          <w:rFonts w:ascii="Times New Roman" w:hAnsi="Times New Roman" w:cs="Times New Roman"/>
          <w:sz w:val="24"/>
          <w:szCs w:val="24"/>
        </w:rPr>
        <w:t>, LGDJ, 2012</w:t>
      </w:r>
    </w:p>
    <w:p w:rsidR="00A72B42" w:rsidRPr="00A72B42" w:rsidRDefault="00A72B42" w:rsidP="0094066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7BC">
        <w:rPr>
          <w:rFonts w:ascii="Times New Roman" w:hAnsi="Times New Roman" w:cs="Times New Roman"/>
          <w:i/>
          <w:sz w:val="24"/>
          <w:szCs w:val="24"/>
        </w:rPr>
        <w:lastRenderedPageBreak/>
        <w:t>Immeuble et droit privé, Approches transversales,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sous la direction des Pr.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Chistophe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Albigès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Christine Hugon, Lamy</w:t>
      </w:r>
      <w:r w:rsidR="00B9405B">
        <w:rPr>
          <w:rFonts w:ascii="Times New Roman" w:hAnsi="Times New Roman" w:cs="Times New Roman"/>
          <w:sz w:val="24"/>
          <w:szCs w:val="24"/>
        </w:rPr>
        <w:t xml:space="preserve"> Axe Droit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C13805" w:rsidRPr="00940663" w:rsidRDefault="007A184C" w:rsidP="0094066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7BC">
        <w:rPr>
          <w:rFonts w:ascii="Times New Roman" w:hAnsi="Times New Roman" w:cs="Times New Roman"/>
          <w:i/>
          <w:sz w:val="24"/>
          <w:szCs w:val="24"/>
        </w:rPr>
        <w:t>Code de commerce,</w:t>
      </w:r>
      <w:r w:rsidRPr="0094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C9C">
        <w:rPr>
          <w:rFonts w:ascii="Times New Roman" w:hAnsi="Times New Roman" w:cs="Times New Roman"/>
          <w:sz w:val="24"/>
          <w:szCs w:val="24"/>
        </w:rPr>
        <w:t>LexisNexis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 xml:space="preserve">, sous la direction du Pr. Philippe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Pétel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>, édition</w:t>
      </w:r>
      <w:r w:rsidR="00F707E8">
        <w:rPr>
          <w:rFonts w:ascii="Times New Roman" w:hAnsi="Times New Roman" w:cs="Times New Roman"/>
          <w:sz w:val="24"/>
          <w:szCs w:val="24"/>
        </w:rPr>
        <w:t>s</w:t>
      </w:r>
      <w:r w:rsidRPr="00940663">
        <w:rPr>
          <w:rFonts w:ascii="Times New Roman" w:hAnsi="Times New Roman" w:cs="Times New Roman"/>
          <w:sz w:val="24"/>
          <w:szCs w:val="24"/>
        </w:rPr>
        <w:t xml:space="preserve"> 2010</w:t>
      </w:r>
      <w:r w:rsidR="008F4EB0">
        <w:rPr>
          <w:rFonts w:ascii="Times New Roman" w:hAnsi="Times New Roman" w:cs="Times New Roman"/>
          <w:sz w:val="24"/>
          <w:szCs w:val="24"/>
        </w:rPr>
        <w:t xml:space="preserve"> à 2015</w:t>
      </w:r>
      <w:r w:rsidR="007B08E2" w:rsidRPr="00940663">
        <w:rPr>
          <w:rFonts w:ascii="Times New Roman" w:hAnsi="Times New Roman" w:cs="Times New Roman"/>
          <w:sz w:val="24"/>
          <w:szCs w:val="24"/>
        </w:rPr>
        <w:t xml:space="preserve"> (mise à jour du Livre VI, entreprises en difficulté</w:t>
      </w:r>
      <w:r w:rsidR="00F707E8">
        <w:rPr>
          <w:rFonts w:ascii="Times New Roman" w:hAnsi="Times New Roman" w:cs="Times New Roman"/>
          <w:sz w:val="24"/>
          <w:szCs w:val="24"/>
        </w:rPr>
        <w:t>, annotations de l’Annexe 6, entreprise</w:t>
      </w:r>
      <w:r w:rsidR="00C33265">
        <w:rPr>
          <w:rFonts w:ascii="Times New Roman" w:hAnsi="Times New Roman" w:cs="Times New Roman"/>
          <w:sz w:val="24"/>
          <w:szCs w:val="24"/>
        </w:rPr>
        <w:t>s en difficulté)</w:t>
      </w:r>
    </w:p>
    <w:p w:rsidR="007A184C" w:rsidRPr="00940663" w:rsidRDefault="007A184C" w:rsidP="0094066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7BC">
        <w:rPr>
          <w:rFonts w:ascii="Times New Roman" w:hAnsi="Times New Roman" w:cs="Times New Roman"/>
          <w:i/>
          <w:sz w:val="24"/>
          <w:szCs w:val="24"/>
        </w:rPr>
        <w:t>Dictionnaire de droit du marché,</w:t>
      </w:r>
      <w:r w:rsidRPr="00940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663">
        <w:rPr>
          <w:rFonts w:ascii="Times New Roman" w:hAnsi="Times New Roman" w:cs="Times New Roman"/>
          <w:sz w:val="24"/>
          <w:szCs w:val="24"/>
        </w:rPr>
        <w:t xml:space="preserve">Ellipses, sous la direction du Pr. Daniel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Mainguy</w:t>
      </w:r>
      <w:proofErr w:type="spellEnd"/>
      <w:r w:rsidR="007B08E2" w:rsidRPr="00940663">
        <w:rPr>
          <w:rFonts w:ascii="Times New Roman" w:hAnsi="Times New Roman" w:cs="Times New Roman"/>
          <w:sz w:val="24"/>
          <w:szCs w:val="24"/>
        </w:rPr>
        <w:t>, 2008</w:t>
      </w:r>
    </w:p>
    <w:p w:rsidR="007A184C" w:rsidRPr="00940663" w:rsidRDefault="007D63DF" w:rsidP="0094066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7BC">
        <w:rPr>
          <w:rFonts w:ascii="Times New Roman" w:hAnsi="Times New Roman" w:cs="Times New Roman"/>
          <w:i/>
          <w:sz w:val="24"/>
          <w:szCs w:val="24"/>
        </w:rPr>
        <w:t>Essai sur la gratuité en droit privé,</w:t>
      </w:r>
      <w:r w:rsidRPr="009406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663">
        <w:rPr>
          <w:rFonts w:ascii="Times New Roman" w:hAnsi="Times New Roman" w:cs="Times New Roman"/>
          <w:sz w:val="24"/>
          <w:szCs w:val="24"/>
        </w:rPr>
        <w:t>Th. Montpellier, 2006</w:t>
      </w:r>
    </w:p>
    <w:p w:rsidR="002A72C9" w:rsidRDefault="002A72C9" w:rsidP="00C1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805" w:rsidRDefault="002A72C9" w:rsidP="007B08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Articles de fond</w:t>
      </w:r>
    </w:p>
    <w:p w:rsidR="00104EBD" w:rsidRDefault="00104EBD" w:rsidP="00104EBD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dédramatisation de la déclaration de créance, </w:t>
      </w:r>
      <w:r>
        <w:rPr>
          <w:rFonts w:ascii="Times New Roman" w:hAnsi="Times New Roman" w:cs="Times New Roman"/>
          <w:i/>
          <w:sz w:val="24"/>
          <w:szCs w:val="24"/>
        </w:rPr>
        <w:t xml:space="preserve">Les Petites Affiches, </w:t>
      </w:r>
      <w:r>
        <w:rPr>
          <w:rFonts w:ascii="Times New Roman" w:hAnsi="Times New Roman" w:cs="Times New Roman"/>
          <w:sz w:val="24"/>
          <w:szCs w:val="24"/>
        </w:rPr>
        <w:t>à paraître, début 2015</w:t>
      </w:r>
    </w:p>
    <w:p w:rsidR="00104EBD" w:rsidRDefault="00104EBD" w:rsidP="00104EBD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EBD">
        <w:rPr>
          <w:rFonts w:ascii="Times New Roman" w:hAnsi="Times New Roman" w:cs="Times New Roman"/>
          <w:sz w:val="24"/>
          <w:szCs w:val="24"/>
        </w:rPr>
        <w:t>La saisie immobilière et la copropriété, in La saisie immobilière, approches transversales (</w:t>
      </w:r>
      <w:proofErr w:type="spellStart"/>
      <w:r w:rsidRPr="00104EB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04EBD">
        <w:rPr>
          <w:rFonts w:ascii="Times New Roman" w:hAnsi="Times New Roman" w:cs="Times New Roman"/>
          <w:sz w:val="24"/>
          <w:szCs w:val="24"/>
        </w:rPr>
        <w:t xml:space="preserve">. Ch. </w:t>
      </w:r>
      <w:proofErr w:type="spellStart"/>
      <w:r w:rsidRPr="00104EBD">
        <w:rPr>
          <w:rFonts w:ascii="Times New Roman" w:hAnsi="Times New Roman" w:cs="Times New Roman"/>
          <w:sz w:val="24"/>
          <w:szCs w:val="24"/>
        </w:rPr>
        <w:t>Albigès</w:t>
      </w:r>
      <w:proofErr w:type="spellEnd"/>
      <w:r w:rsidRPr="00104EBD">
        <w:rPr>
          <w:rFonts w:ascii="Times New Roman" w:hAnsi="Times New Roman" w:cs="Times New Roman"/>
          <w:sz w:val="24"/>
          <w:szCs w:val="24"/>
        </w:rPr>
        <w:t>), Dalloz, Thèmes et Commentaires, 2014</w:t>
      </w:r>
    </w:p>
    <w:p w:rsidR="00900DCC" w:rsidRDefault="00900DCC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contrat conclure ? La délimitation des domaines des différents contrats de construction,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Defrénois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 p. 667, 116n5</w:t>
      </w:r>
    </w:p>
    <w:p w:rsidR="00FA45DD" w:rsidRDefault="00FA45DD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Contrats en cours : un équilibre enfin atteint ?,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2014/3, p.183</w:t>
      </w:r>
    </w:p>
    <w:p w:rsidR="00E930CD" w:rsidRDefault="00E930CD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Existe-t-il un droit à la gratuité ?, </w:t>
      </w:r>
      <w:r>
        <w:rPr>
          <w:rFonts w:ascii="Times New Roman" w:hAnsi="Times New Roman" w:cs="Times New Roman"/>
          <w:i/>
          <w:sz w:val="24"/>
          <w:szCs w:val="24"/>
        </w:rPr>
        <w:t xml:space="preserve">RLDC </w:t>
      </w:r>
      <w:r>
        <w:rPr>
          <w:rFonts w:ascii="Times New Roman" w:hAnsi="Times New Roman" w:cs="Times New Roman"/>
          <w:sz w:val="24"/>
          <w:szCs w:val="24"/>
        </w:rPr>
        <w:t>déc. 2013, p. 67</w:t>
      </w:r>
    </w:p>
    <w:p w:rsidR="002B1D48" w:rsidRDefault="002B1D48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conventions relatives aux charges de copropriété, </w:t>
      </w:r>
      <w:r>
        <w:rPr>
          <w:rFonts w:ascii="Times New Roman" w:hAnsi="Times New Roman" w:cs="Times New Roman"/>
          <w:i/>
          <w:sz w:val="24"/>
          <w:szCs w:val="24"/>
        </w:rPr>
        <w:t xml:space="preserve">RTDI </w:t>
      </w:r>
      <w:r w:rsidR="002E4926">
        <w:rPr>
          <w:rFonts w:ascii="Times New Roman" w:hAnsi="Times New Roman" w:cs="Times New Roman"/>
          <w:sz w:val="24"/>
          <w:szCs w:val="24"/>
        </w:rPr>
        <w:t>2013-3, p. 7</w:t>
      </w:r>
    </w:p>
    <w:p w:rsidR="002A72C9" w:rsidRDefault="002A72C9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proportionnalité en droit de la copropriété : le contrôle des clauses d’habitation bourgeoise, </w:t>
      </w:r>
      <w:r>
        <w:rPr>
          <w:rFonts w:ascii="Times New Roman" w:hAnsi="Times New Roman" w:cs="Times New Roman"/>
          <w:i/>
          <w:sz w:val="24"/>
          <w:szCs w:val="24"/>
        </w:rPr>
        <w:t>in Immeuble et droit privé, Approches transversales</w:t>
      </w:r>
      <w:r>
        <w:rPr>
          <w:rFonts w:ascii="Times New Roman" w:hAnsi="Times New Roman" w:cs="Times New Roman"/>
          <w:sz w:val="24"/>
          <w:szCs w:val="24"/>
        </w:rPr>
        <w:t>, Lamy Axe Droit, 2012, p. 111</w:t>
      </w:r>
    </w:p>
    <w:p w:rsidR="002A72C9" w:rsidRDefault="002A72C9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L’implantation de panneaux photovoltaïques ou d’éoliennes dans une copropriété,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Loyers </w:t>
      </w:r>
      <w:r w:rsidRPr="002A0A15">
        <w:rPr>
          <w:rFonts w:ascii="Times New Roman" w:hAnsi="Times New Roman" w:cs="Times New Roman"/>
          <w:sz w:val="24"/>
          <w:szCs w:val="24"/>
        </w:rPr>
        <w:t>juin</w:t>
      </w:r>
      <w:r>
        <w:rPr>
          <w:rFonts w:ascii="Times New Roman" w:hAnsi="Times New Roman" w:cs="Times New Roman"/>
          <w:sz w:val="24"/>
          <w:szCs w:val="24"/>
        </w:rPr>
        <w:t xml:space="preserve"> 2012, p. 250</w:t>
      </w:r>
    </w:p>
    <w:p w:rsidR="002A72C9" w:rsidRDefault="002A72C9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motivation des directives de l’Union Européenne, </w:t>
      </w:r>
      <w:r>
        <w:rPr>
          <w:rFonts w:ascii="Times New Roman" w:hAnsi="Times New Roman" w:cs="Times New Roman"/>
          <w:i/>
          <w:sz w:val="24"/>
          <w:szCs w:val="24"/>
        </w:rPr>
        <w:t xml:space="preserve">RLDC </w:t>
      </w:r>
      <w:r>
        <w:rPr>
          <w:rFonts w:ascii="Times New Roman" w:hAnsi="Times New Roman" w:cs="Times New Roman"/>
          <w:sz w:val="24"/>
          <w:szCs w:val="24"/>
        </w:rPr>
        <w:t>janv. 2012, p. 68</w:t>
      </w:r>
    </w:p>
    <w:p w:rsidR="002A72C9" w:rsidRDefault="002A72C9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 xml:space="preserve">La clause de non-sollicitation, </w:t>
      </w:r>
      <w:r w:rsidRPr="00940663">
        <w:rPr>
          <w:rFonts w:ascii="Times New Roman" w:hAnsi="Times New Roman" w:cs="Times New Roman"/>
          <w:i/>
          <w:iCs/>
          <w:sz w:val="24"/>
          <w:szCs w:val="24"/>
        </w:rPr>
        <w:t xml:space="preserve">JCP S </w:t>
      </w:r>
      <w:r w:rsidRPr="00940663">
        <w:rPr>
          <w:rFonts w:ascii="Times New Roman" w:hAnsi="Times New Roman" w:cs="Times New Roman"/>
          <w:sz w:val="24"/>
          <w:szCs w:val="24"/>
        </w:rPr>
        <w:t>2007.1976</w:t>
      </w:r>
    </w:p>
    <w:p w:rsidR="002A72C9" w:rsidRDefault="002A72C9" w:rsidP="002A72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0CD" w:rsidRPr="00E930CD" w:rsidRDefault="002A72C9" w:rsidP="00E930C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Notes de jurisprudence</w:t>
      </w:r>
    </w:p>
    <w:p w:rsidR="00E3750B" w:rsidRPr="00E3750B" w:rsidRDefault="00E3750B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50B">
        <w:rPr>
          <w:rFonts w:ascii="Times New Roman" w:hAnsi="Times New Roman" w:cs="Times New Roman"/>
          <w:sz w:val="24"/>
          <w:szCs w:val="24"/>
        </w:rPr>
        <w:t>Modification de la répartition des charges de copropriété suite au changement d’usage de parties privatives</w:t>
      </w:r>
      <w:r>
        <w:rPr>
          <w:rFonts w:ascii="Times New Roman" w:hAnsi="Times New Roman" w:cs="Times New Roman"/>
          <w:sz w:val="24"/>
          <w:szCs w:val="24"/>
        </w:rPr>
        <w:t xml:space="preserve">,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E3750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E3750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oct. 2014, n°13-21.745, GP</w:t>
      </w:r>
      <w:r w:rsidR="005A1FB8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à paraître</w:t>
      </w:r>
    </w:p>
    <w:p w:rsidR="006E48C9" w:rsidRDefault="006E48C9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Malheureux les possédants !,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16 sept. 2014, n°13-11.737,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 w:rsidR="00E47FC4">
        <w:rPr>
          <w:rFonts w:ascii="Times New Roman" w:hAnsi="Times New Roman" w:cs="Times New Roman"/>
          <w:sz w:val="24"/>
          <w:szCs w:val="24"/>
        </w:rPr>
        <w:t>2014/6, p.362</w:t>
      </w:r>
    </w:p>
    <w:p w:rsidR="006E48C9" w:rsidRDefault="006E48C9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Administrateurs judiciaires : le titre sans la finance,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Pr="006E48C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28 mai 2014, n°13-14.884,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2014/5, p. 301</w:t>
      </w:r>
    </w:p>
    <w:p w:rsidR="002C69A7" w:rsidRDefault="002C69A7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Constitutionnalité des interdictions d’offres d’acquisition : </w:t>
      </w:r>
      <w:r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juridicus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vs. Homo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economicus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18 févr. 2014, n°13-40071,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2014/4, p. 237</w:t>
      </w:r>
    </w:p>
    <w:p w:rsidR="003A029B" w:rsidRDefault="003A029B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Indécente mise en demeure !,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3A029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4 juin 2014, n°13-12.314, </w:t>
      </w:r>
      <w:r>
        <w:rPr>
          <w:rFonts w:ascii="Times New Roman" w:hAnsi="Times New Roman" w:cs="Times New Roman"/>
          <w:i/>
          <w:sz w:val="24"/>
          <w:szCs w:val="24"/>
        </w:rPr>
        <w:t>Revue des</w:t>
      </w:r>
      <w:r w:rsidR="002C69A7">
        <w:rPr>
          <w:rFonts w:ascii="Times New Roman" w:hAnsi="Times New Roman" w:cs="Times New Roman"/>
          <w:i/>
          <w:sz w:val="24"/>
          <w:szCs w:val="24"/>
        </w:rPr>
        <w:t xml:space="preserve"> Loyers </w:t>
      </w:r>
      <w:r w:rsidR="002C69A7" w:rsidRPr="002C69A7">
        <w:rPr>
          <w:rFonts w:ascii="Times New Roman" w:hAnsi="Times New Roman" w:cs="Times New Roman"/>
          <w:sz w:val="24"/>
          <w:szCs w:val="24"/>
        </w:rPr>
        <w:t>juillet</w:t>
      </w:r>
      <w:r w:rsidR="002C69A7">
        <w:rPr>
          <w:rFonts w:ascii="Times New Roman" w:hAnsi="Times New Roman" w:cs="Times New Roman"/>
          <w:sz w:val="24"/>
          <w:szCs w:val="24"/>
        </w:rPr>
        <w:t>-août-septembre</w:t>
      </w:r>
      <w:r w:rsidR="002C69A7" w:rsidRPr="002C69A7">
        <w:rPr>
          <w:rFonts w:ascii="Times New Roman" w:hAnsi="Times New Roman" w:cs="Times New Roman"/>
          <w:sz w:val="24"/>
          <w:szCs w:val="24"/>
        </w:rPr>
        <w:t xml:space="preserve"> 2014</w:t>
      </w:r>
      <w:r w:rsidR="002C69A7">
        <w:rPr>
          <w:rFonts w:ascii="Times New Roman" w:hAnsi="Times New Roman" w:cs="Times New Roman"/>
          <w:sz w:val="24"/>
          <w:szCs w:val="24"/>
        </w:rPr>
        <w:t>, p. 356</w:t>
      </w:r>
    </w:p>
    <w:p w:rsidR="00FA45DD" w:rsidRPr="00FA45DD" w:rsidRDefault="00FA45DD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5DD">
        <w:rPr>
          <w:rFonts w:ascii="Times New Roman" w:hAnsi="Times New Roman" w:cs="Times New Roman"/>
          <w:sz w:val="24"/>
          <w:szCs w:val="24"/>
        </w:rPr>
        <w:lastRenderedPageBreak/>
        <w:t>Droit d’usage et d’habitation sur un lot de copropriété : obligation au paiement des charges et mandat tacite</w:t>
      </w:r>
      <w:r>
        <w:rPr>
          <w:rFonts w:ascii="Times New Roman" w:hAnsi="Times New Roman" w:cs="Times New Roman"/>
          <w:sz w:val="24"/>
          <w:szCs w:val="24"/>
        </w:rPr>
        <w:t xml:space="preserve">, note sous CA Paris, 26 mars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12/02837, </w:t>
      </w:r>
      <w:r>
        <w:rPr>
          <w:rFonts w:ascii="Times New Roman" w:hAnsi="Times New Roman" w:cs="Times New Roman"/>
          <w:i/>
          <w:sz w:val="24"/>
          <w:szCs w:val="24"/>
        </w:rPr>
        <w:t xml:space="preserve">Revue des Loyers, </w:t>
      </w:r>
      <w:r>
        <w:rPr>
          <w:rFonts w:ascii="Times New Roman" w:hAnsi="Times New Roman" w:cs="Times New Roman"/>
          <w:sz w:val="24"/>
          <w:szCs w:val="24"/>
        </w:rPr>
        <w:t>juin 2</w:t>
      </w:r>
      <w:r w:rsidR="002C69A7">
        <w:rPr>
          <w:rFonts w:ascii="Times New Roman" w:hAnsi="Times New Roman" w:cs="Times New Roman"/>
          <w:sz w:val="24"/>
          <w:szCs w:val="24"/>
        </w:rPr>
        <w:t>014, p. 305</w:t>
      </w:r>
    </w:p>
    <w:p w:rsidR="007B3523" w:rsidRDefault="007B3523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Clair-obscur sur le cautionnement souscrit en période suspecte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19 nov. 2013, n°12-23.020,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 w:rsidR="00FA45DD">
        <w:rPr>
          <w:rFonts w:ascii="Times New Roman" w:hAnsi="Times New Roman" w:cs="Times New Roman"/>
          <w:sz w:val="24"/>
          <w:szCs w:val="24"/>
        </w:rPr>
        <w:t>2014/2, p.97</w:t>
      </w:r>
    </w:p>
    <w:p w:rsidR="008A1E4F" w:rsidRDefault="007B3523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Heureux les dirigeants ignorants !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19 nov. 2013, n°12-25.925,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 w:rsidR="00FA45DD">
        <w:rPr>
          <w:rFonts w:ascii="Times New Roman" w:hAnsi="Times New Roman" w:cs="Times New Roman"/>
          <w:sz w:val="24"/>
          <w:szCs w:val="24"/>
        </w:rPr>
        <w:t>2014/2, p. 102</w:t>
      </w:r>
    </w:p>
    <w:p w:rsidR="008A1E4F" w:rsidRDefault="008A1E4F" w:rsidP="008A1E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E4F">
        <w:rPr>
          <w:rFonts w:ascii="Times New Roman" w:hAnsi="Times New Roman" w:cs="Times New Roman"/>
          <w:sz w:val="24"/>
          <w:szCs w:val="24"/>
        </w:rPr>
        <w:t>Portée de l’obligation de mise en concurrence des contractants du syndicat de copropriétaires</w:t>
      </w:r>
      <w:r>
        <w:rPr>
          <w:rFonts w:ascii="Times New Roman" w:hAnsi="Times New Roman" w:cs="Times New Roman"/>
          <w:sz w:val="24"/>
          <w:szCs w:val="24"/>
        </w:rPr>
        <w:t xml:space="preserve">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8A1E4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27 nov. 2013, n°12-26.395, </w:t>
      </w:r>
      <w:r>
        <w:rPr>
          <w:rFonts w:ascii="Times New Roman" w:hAnsi="Times New Roman" w:cs="Times New Roman"/>
          <w:i/>
          <w:sz w:val="24"/>
          <w:szCs w:val="24"/>
        </w:rPr>
        <w:t xml:space="preserve">GP </w:t>
      </w:r>
      <w:r w:rsidR="00C500BF">
        <w:rPr>
          <w:rFonts w:ascii="Times New Roman" w:hAnsi="Times New Roman" w:cs="Times New Roman"/>
          <w:sz w:val="24"/>
          <w:szCs w:val="24"/>
        </w:rPr>
        <w:t xml:space="preserve">13 févr.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="00C500BF">
        <w:rPr>
          <w:rFonts w:ascii="Times New Roman" w:hAnsi="Times New Roman" w:cs="Times New Roman"/>
          <w:sz w:val="24"/>
          <w:szCs w:val="24"/>
        </w:rPr>
        <w:t>p. 17</w:t>
      </w:r>
    </w:p>
    <w:p w:rsidR="009954CC" w:rsidRDefault="009954CC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Déclaration de la créance d’indemnité de résiliation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crédit-bailleur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aujourd’hui peut-être, ou alors demain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5 nov. 2013, n°12-20.263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17 sept. 2013, n°12-20.498,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2014/1, p. 28</w:t>
      </w:r>
    </w:p>
    <w:p w:rsidR="00E930CD" w:rsidRDefault="00E930CD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L’impossible gestion d’affaires du syndic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Pr="00E930C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16 oct. 2013</w:t>
      </w:r>
      <w:r w:rsidR="009954CC">
        <w:rPr>
          <w:rFonts w:ascii="Times New Roman" w:hAnsi="Times New Roman" w:cs="Times New Roman"/>
          <w:sz w:val="24"/>
          <w:szCs w:val="24"/>
        </w:rPr>
        <w:t>, n°12-20.881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GP </w:t>
      </w:r>
      <w:r>
        <w:rPr>
          <w:rFonts w:ascii="Times New Roman" w:hAnsi="Times New Roman" w:cs="Times New Roman"/>
          <w:sz w:val="24"/>
          <w:szCs w:val="24"/>
        </w:rPr>
        <w:t>27 et 28 nov. 2013,  p. 19</w:t>
      </w:r>
    </w:p>
    <w:p w:rsidR="002E4926" w:rsidRDefault="002E4926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Résiliation de plein droit des contrats en cours : compétence exclusive du juge-commissaire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18 juin 2013, n°12-14.836 et 12-19.054,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2013/5, p. 296</w:t>
      </w:r>
    </w:p>
    <w:p w:rsidR="002E4926" w:rsidRDefault="002E4926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Coups d'épée bancaires dans l'eau des procédures collectives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4 juin 2013, n°12-17.203,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2013/5, p. 278</w:t>
      </w:r>
    </w:p>
    <w:p w:rsidR="00A076EE" w:rsidRDefault="00A076EE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Identité de la naissance et de l’origine des créances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23 avr. 2013, n°12-14.906, 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2013/4, p. 240</w:t>
      </w:r>
    </w:p>
    <w:p w:rsidR="00A076EE" w:rsidRDefault="00A076EE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Interdiction des poursuites : l’astreinte est hors-jeu !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26 mars 2013, n°06-10.602,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2013/4, p. 238</w:t>
      </w:r>
    </w:p>
    <w:p w:rsidR="003947F1" w:rsidRDefault="003947F1" w:rsidP="003947F1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F1">
        <w:rPr>
          <w:rFonts w:ascii="Times New Roman" w:hAnsi="Times New Roman" w:cs="Times New Roman"/>
          <w:sz w:val="24"/>
          <w:szCs w:val="24"/>
        </w:rPr>
        <w:t>Conformité de l’article L. 622-9 ancien du Code de commerce (L. 641-9 nouveau) à la Constitution</w:t>
      </w:r>
      <w:r>
        <w:rPr>
          <w:rFonts w:ascii="Times New Roman" w:hAnsi="Times New Roman" w:cs="Times New Roman"/>
          <w:sz w:val="24"/>
          <w:szCs w:val="24"/>
        </w:rPr>
        <w:t xml:space="preserve">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18 déc. 2012, n° 12-40. 076,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 w:rsidR="006B0F37">
        <w:rPr>
          <w:rFonts w:ascii="Times New Roman" w:hAnsi="Times New Roman" w:cs="Times New Roman"/>
          <w:sz w:val="24"/>
          <w:szCs w:val="24"/>
        </w:rPr>
        <w:t>2013/2, p. 82</w:t>
      </w:r>
    </w:p>
    <w:p w:rsidR="002F684F" w:rsidRDefault="002F684F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a qualité pour renoncer à la prescription extinctive ?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2 oct. 2012, n°11-21.592,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 w:rsidR="001169E7">
        <w:rPr>
          <w:rFonts w:ascii="Times New Roman" w:hAnsi="Times New Roman" w:cs="Times New Roman"/>
          <w:sz w:val="24"/>
          <w:szCs w:val="24"/>
        </w:rPr>
        <w:t>2013/1, p. 13</w:t>
      </w:r>
    </w:p>
    <w:p w:rsidR="002F684F" w:rsidRDefault="002F684F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>. Com. 3 juill. 2012, n°11-14.227 (</w:t>
      </w:r>
      <w:r>
        <w:rPr>
          <w:rFonts w:ascii="Times New Roman" w:hAnsi="Times New Roman" w:cs="Times New Roman"/>
          <w:i/>
          <w:sz w:val="24"/>
          <w:szCs w:val="24"/>
        </w:rPr>
        <w:t>Les conséquences de la mort du tireur</w:t>
      </w:r>
      <w:r>
        <w:rPr>
          <w:rFonts w:ascii="Times New Roman" w:hAnsi="Times New Roman" w:cs="Times New Roman"/>
          <w:sz w:val="24"/>
          <w:szCs w:val="24"/>
        </w:rPr>
        <w:t>), GP 7 et 8 novembre 2012, p. 16</w:t>
      </w:r>
    </w:p>
    <w:p w:rsidR="002F684F" w:rsidRDefault="002F684F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>. Com. 22 mai 2012, n°11-17.391 (</w:t>
      </w:r>
      <w:r>
        <w:rPr>
          <w:rFonts w:ascii="Times New Roman" w:hAnsi="Times New Roman" w:cs="Times New Roman"/>
          <w:i/>
          <w:sz w:val="24"/>
          <w:szCs w:val="24"/>
        </w:rPr>
        <w:t>Sort des biens communs dans la liquidation judiciaire d’un époux</w:t>
      </w:r>
      <w:r>
        <w:rPr>
          <w:rFonts w:ascii="Times New Roman" w:hAnsi="Times New Roman" w:cs="Times New Roman"/>
          <w:sz w:val="24"/>
          <w:szCs w:val="24"/>
        </w:rPr>
        <w:t>), GP 7 et 8 novembre 2012, p. 14</w:t>
      </w:r>
    </w:p>
    <w:p w:rsidR="005F0036" w:rsidRDefault="005F0036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sort du bail commercial en liquidation judiciaire : une protection à gé</w:t>
      </w:r>
      <w:r w:rsidR="00EF0594">
        <w:rPr>
          <w:rFonts w:ascii="Times New Roman" w:hAnsi="Times New Roman" w:cs="Times New Roman"/>
          <w:sz w:val="24"/>
          <w:szCs w:val="24"/>
        </w:rPr>
        <w:t>ométrie variable pour le bailleur</w:t>
      </w:r>
      <w:r>
        <w:rPr>
          <w:rFonts w:ascii="Times New Roman" w:hAnsi="Times New Roman" w:cs="Times New Roman"/>
          <w:sz w:val="24"/>
          <w:szCs w:val="24"/>
        </w:rPr>
        <w:t xml:space="preserve"> – 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6 déc. 2011, n°10-25.689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21 févr. 2012, n°11-11.512,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 w:rsidR="00AD3C38">
        <w:rPr>
          <w:rFonts w:ascii="Times New Roman" w:hAnsi="Times New Roman" w:cs="Times New Roman"/>
          <w:sz w:val="24"/>
          <w:szCs w:val="24"/>
        </w:rPr>
        <w:t>mai 2012, p. 155</w:t>
      </w:r>
    </w:p>
    <w:p w:rsidR="007D0AD3" w:rsidRDefault="007D0AD3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3 nov. 2011, n°10-23.951, </w:t>
      </w:r>
      <w:r>
        <w:rPr>
          <w:rFonts w:ascii="Times New Roman" w:hAnsi="Times New Roman" w:cs="Times New Roman"/>
          <w:i/>
          <w:sz w:val="24"/>
          <w:szCs w:val="24"/>
        </w:rPr>
        <w:t xml:space="preserve">GP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0AD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janv. 2012, p. 18 (</w:t>
      </w:r>
      <w:r>
        <w:rPr>
          <w:rFonts w:ascii="Times New Roman" w:hAnsi="Times New Roman" w:cs="Times New Roman"/>
          <w:i/>
          <w:sz w:val="24"/>
          <w:szCs w:val="24"/>
        </w:rPr>
        <w:t xml:space="preserve">Poursuite des associés d’une société civile de construction-vente, </w:t>
      </w:r>
      <w:r>
        <w:rPr>
          <w:rFonts w:ascii="Times New Roman" w:hAnsi="Times New Roman" w:cs="Times New Roman"/>
          <w:sz w:val="24"/>
          <w:szCs w:val="24"/>
        </w:rPr>
        <w:t xml:space="preserve">Chronique de droit civil des affaires, sous la direction de Christophe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Albigès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A2955" w:rsidRDefault="00AA2955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Com. 15 juin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BJE </w:t>
      </w:r>
      <w:r>
        <w:rPr>
          <w:rFonts w:ascii="Times New Roman" w:hAnsi="Times New Roman" w:cs="Times New Roman"/>
          <w:sz w:val="24"/>
          <w:szCs w:val="24"/>
        </w:rPr>
        <w:t>2011/5, n°143 (</w:t>
      </w:r>
      <w:r>
        <w:rPr>
          <w:rFonts w:ascii="Times New Roman" w:hAnsi="Times New Roman" w:cs="Times New Roman"/>
          <w:i/>
          <w:sz w:val="24"/>
          <w:szCs w:val="24"/>
        </w:rPr>
        <w:t>Les créances sociales et l’article L. 622-17 du Code de commerce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5B52" w:rsidRPr="009C6C87" w:rsidRDefault="00595B52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C87">
        <w:rPr>
          <w:rFonts w:ascii="Times New Roman" w:hAnsi="Times New Roman" w:cs="Times New Roman"/>
          <w:sz w:val="24"/>
          <w:szCs w:val="24"/>
        </w:rPr>
        <w:t xml:space="preserve">Note sous </w:t>
      </w:r>
      <w:proofErr w:type="spellStart"/>
      <w:r w:rsidRPr="009C6C8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C6C87">
        <w:rPr>
          <w:rFonts w:ascii="Times New Roman" w:hAnsi="Times New Roman" w:cs="Times New Roman"/>
          <w:sz w:val="24"/>
          <w:szCs w:val="24"/>
        </w:rPr>
        <w:t xml:space="preserve">. Com. 3 mai 2011, </w:t>
      </w:r>
      <w:r w:rsidRPr="009C6C87">
        <w:rPr>
          <w:rFonts w:ascii="Times New Roman" w:hAnsi="Times New Roman" w:cs="Times New Roman"/>
          <w:i/>
          <w:sz w:val="24"/>
          <w:szCs w:val="24"/>
        </w:rPr>
        <w:t>BJE</w:t>
      </w:r>
      <w:r w:rsidRPr="009C6C87">
        <w:rPr>
          <w:rFonts w:ascii="Times New Roman" w:hAnsi="Times New Roman" w:cs="Times New Roman"/>
          <w:sz w:val="24"/>
          <w:szCs w:val="24"/>
        </w:rPr>
        <w:t xml:space="preserve"> 2011/4, </w:t>
      </w:r>
      <w:r w:rsidR="00207415">
        <w:rPr>
          <w:rFonts w:ascii="Times New Roman" w:hAnsi="Times New Roman" w:cs="Times New Roman"/>
          <w:sz w:val="24"/>
          <w:szCs w:val="24"/>
        </w:rPr>
        <w:t>n°127</w:t>
      </w:r>
      <w:r w:rsidRPr="009C6C87">
        <w:rPr>
          <w:rFonts w:ascii="Times New Roman" w:hAnsi="Times New Roman" w:cs="Times New Roman"/>
          <w:sz w:val="24"/>
          <w:szCs w:val="24"/>
        </w:rPr>
        <w:t xml:space="preserve"> (</w:t>
      </w:r>
      <w:r w:rsidRPr="009C6C87">
        <w:rPr>
          <w:rFonts w:ascii="Times New Roman" w:hAnsi="Times New Roman" w:cs="Times New Roman"/>
          <w:i/>
          <w:sz w:val="24"/>
          <w:szCs w:val="24"/>
        </w:rPr>
        <w:t>Promesse unilatérale d’achat, date de naissance et admission des créances</w:t>
      </w:r>
      <w:r w:rsidRPr="009C6C87">
        <w:rPr>
          <w:rFonts w:ascii="Times New Roman" w:hAnsi="Times New Roman" w:cs="Times New Roman"/>
          <w:sz w:val="24"/>
          <w:szCs w:val="24"/>
        </w:rPr>
        <w:t>)</w:t>
      </w:r>
    </w:p>
    <w:p w:rsidR="00920F14" w:rsidRPr="009C6C87" w:rsidRDefault="00920F14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C87">
        <w:rPr>
          <w:rFonts w:ascii="Times New Roman" w:hAnsi="Times New Roman" w:cs="Times New Roman"/>
          <w:sz w:val="24"/>
          <w:szCs w:val="24"/>
        </w:rPr>
        <w:t xml:space="preserve">Note sous </w:t>
      </w:r>
      <w:proofErr w:type="spellStart"/>
      <w:r w:rsidRPr="009C6C8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C6C87">
        <w:rPr>
          <w:rFonts w:ascii="Times New Roman" w:hAnsi="Times New Roman" w:cs="Times New Roman"/>
          <w:sz w:val="24"/>
          <w:szCs w:val="24"/>
        </w:rPr>
        <w:t xml:space="preserve">. Com. 3 nov. 2010, </w:t>
      </w:r>
      <w:r w:rsidRPr="009C6C87">
        <w:rPr>
          <w:rFonts w:ascii="Times New Roman" w:hAnsi="Times New Roman" w:cs="Times New Roman"/>
          <w:i/>
          <w:sz w:val="24"/>
          <w:szCs w:val="24"/>
        </w:rPr>
        <w:t>LPA</w:t>
      </w:r>
      <w:r w:rsidRPr="009C6C87">
        <w:rPr>
          <w:rFonts w:ascii="Times New Roman" w:hAnsi="Times New Roman" w:cs="Times New Roman"/>
          <w:sz w:val="24"/>
          <w:szCs w:val="24"/>
        </w:rPr>
        <w:t xml:space="preserve"> 15-16-17 août 2011, n° 161-162-163, p. 20 (</w:t>
      </w:r>
      <w:r w:rsidRPr="009C6C87">
        <w:rPr>
          <w:rFonts w:ascii="Times New Roman" w:hAnsi="Times New Roman" w:cs="Times New Roman"/>
          <w:i/>
          <w:sz w:val="24"/>
          <w:szCs w:val="24"/>
        </w:rPr>
        <w:t>Dessaisissement du débiteur en liquidation judiciaire : l’indifférence de la cause</w:t>
      </w:r>
      <w:r w:rsidRPr="009C6C87">
        <w:rPr>
          <w:rFonts w:ascii="Times New Roman" w:hAnsi="Times New Roman" w:cs="Times New Roman"/>
          <w:sz w:val="24"/>
          <w:szCs w:val="24"/>
        </w:rPr>
        <w:t>)</w:t>
      </w:r>
    </w:p>
    <w:p w:rsidR="00B06E3B" w:rsidRPr="009C6C87" w:rsidRDefault="00B06E3B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C87">
        <w:rPr>
          <w:rFonts w:ascii="Times New Roman" w:hAnsi="Times New Roman" w:cs="Times New Roman"/>
          <w:sz w:val="24"/>
          <w:szCs w:val="24"/>
        </w:rPr>
        <w:lastRenderedPageBreak/>
        <w:t xml:space="preserve">Note sous </w:t>
      </w:r>
      <w:proofErr w:type="spellStart"/>
      <w:r w:rsidRPr="009C6C8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C6C87">
        <w:rPr>
          <w:rFonts w:ascii="Times New Roman" w:hAnsi="Times New Roman" w:cs="Times New Roman"/>
          <w:sz w:val="24"/>
          <w:szCs w:val="24"/>
        </w:rPr>
        <w:t xml:space="preserve">. Com. 3 nov. 2010, </w:t>
      </w:r>
      <w:r w:rsidRPr="009C6C87">
        <w:rPr>
          <w:rFonts w:ascii="Times New Roman" w:hAnsi="Times New Roman" w:cs="Times New Roman"/>
          <w:i/>
          <w:sz w:val="24"/>
          <w:szCs w:val="24"/>
        </w:rPr>
        <w:t>LPA</w:t>
      </w:r>
      <w:r w:rsidRPr="009C6C87">
        <w:rPr>
          <w:rFonts w:ascii="Times New Roman" w:hAnsi="Times New Roman" w:cs="Times New Roman"/>
          <w:sz w:val="24"/>
          <w:szCs w:val="24"/>
        </w:rPr>
        <w:t xml:space="preserve"> 26 juill. 2011, n° 147, p. 20 (</w:t>
      </w:r>
      <w:r w:rsidRPr="009C6C87">
        <w:rPr>
          <w:rFonts w:ascii="Times New Roman" w:hAnsi="Times New Roman" w:cs="Times New Roman"/>
          <w:i/>
          <w:sz w:val="24"/>
          <w:szCs w:val="24"/>
        </w:rPr>
        <w:t>Les limites de l’interdiction des paiements</w:t>
      </w:r>
      <w:r w:rsidRPr="009C6C87">
        <w:rPr>
          <w:rFonts w:ascii="Times New Roman" w:hAnsi="Times New Roman" w:cs="Times New Roman"/>
          <w:sz w:val="24"/>
          <w:szCs w:val="24"/>
        </w:rPr>
        <w:t>)</w:t>
      </w:r>
    </w:p>
    <w:p w:rsidR="009468CE" w:rsidRPr="009C6C87" w:rsidRDefault="004B5A08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C87">
        <w:rPr>
          <w:rFonts w:ascii="Times New Roman" w:hAnsi="Times New Roman" w:cs="Times New Roman"/>
          <w:sz w:val="24"/>
          <w:szCs w:val="24"/>
        </w:rPr>
        <w:t>Note</w:t>
      </w:r>
      <w:r w:rsidR="009468CE" w:rsidRPr="009C6C87">
        <w:rPr>
          <w:rFonts w:ascii="Times New Roman" w:hAnsi="Times New Roman" w:cs="Times New Roman"/>
          <w:sz w:val="24"/>
          <w:szCs w:val="24"/>
        </w:rPr>
        <w:t xml:space="preserve"> sous </w:t>
      </w:r>
      <w:proofErr w:type="spellStart"/>
      <w:r w:rsidR="009468CE" w:rsidRPr="009C6C8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="009468CE" w:rsidRPr="009C6C87">
        <w:rPr>
          <w:rFonts w:ascii="Times New Roman" w:hAnsi="Times New Roman" w:cs="Times New Roman"/>
          <w:sz w:val="24"/>
          <w:szCs w:val="24"/>
        </w:rPr>
        <w:t xml:space="preserve">. Soc., 5 janv. 2011, </w:t>
      </w:r>
      <w:r w:rsidR="009468CE" w:rsidRPr="009C6C87">
        <w:rPr>
          <w:rFonts w:ascii="Times New Roman" w:hAnsi="Times New Roman" w:cs="Times New Roman"/>
          <w:i/>
          <w:sz w:val="24"/>
          <w:szCs w:val="24"/>
        </w:rPr>
        <w:t>BJE</w:t>
      </w:r>
      <w:r w:rsidR="009468CE" w:rsidRPr="009C6C87">
        <w:rPr>
          <w:rFonts w:ascii="Times New Roman" w:hAnsi="Times New Roman" w:cs="Times New Roman"/>
          <w:sz w:val="24"/>
          <w:szCs w:val="24"/>
        </w:rPr>
        <w:t xml:space="preserve"> 2011/3, n°87 (</w:t>
      </w:r>
      <w:r w:rsidR="009468CE" w:rsidRPr="009C6C87">
        <w:rPr>
          <w:rFonts w:ascii="Times New Roman" w:hAnsi="Times New Roman" w:cs="Times New Roman"/>
          <w:i/>
          <w:sz w:val="24"/>
          <w:szCs w:val="24"/>
        </w:rPr>
        <w:t>L’AGS et les conflits de lois dans l’espace)</w:t>
      </w:r>
    </w:p>
    <w:p w:rsidR="007B08E2" w:rsidRPr="009C6C87" w:rsidRDefault="007B08E2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C87">
        <w:rPr>
          <w:rFonts w:ascii="Times New Roman" w:hAnsi="Times New Roman" w:cs="Times New Roman"/>
          <w:sz w:val="24"/>
          <w:szCs w:val="24"/>
        </w:rPr>
        <w:t xml:space="preserve">Note sous </w:t>
      </w:r>
      <w:proofErr w:type="spellStart"/>
      <w:r w:rsidRPr="009C6C87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C6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C87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9C6C87">
        <w:rPr>
          <w:rFonts w:ascii="Times New Roman" w:hAnsi="Times New Roman" w:cs="Times New Roman"/>
          <w:sz w:val="24"/>
          <w:szCs w:val="24"/>
        </w:rPr>
        <w:t>. 1</w:t>
      </w:r>
      <w:r w:rsidRPr="009C6C87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9C6C87">
        <w:rPr>
          <w:rFonts w:ascii="Times New Roman" w:hAnsi="Times New Roman" w:cs="Times New Roman"/>
          <w:sz w:val="24"/>
          <w:szCs w:val="24"/>
        </w:rPr>
        <w:t xml:space="preserve">, 25 mars 2010, </w:t>
      </w:r>
      <w:r w:rsidR="0084473B" w:rsidRPr="009C6C87">
        <w:rPr>
          <w:rFonts w:ascii="Times New Roman" w:hAnsi="Times New Roman" w:cs="Times New Roman"/>
          <w:i/>
          <w:sz w:val="24"/>
          <w:szCs w:val="24"/>
        </w:rPr>
        <w:t>JCP N</w:t>
      </w:r>
      <w:r w:rsidRPr="009C6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C87">
        <w:rPr>
          <w:rFonts w:ascii="Times New Roman" w:hAnsi="Times New Roman" w:cs="Times New Roman"/>
          <w:sz w:val="24"/>
          <w:szCs w:val="24"/>
        </w:rPr>
        <w:t>2010</w:t>
      </w:r>
      <w:r w:rsidR="0084473B" w:rsidRPr="009C6C87">
        <w:rPr>
          <w:rFonts w:ascii="Times New Roman" w:hAnsi="Times New Roman" w:cs="Times New Roman"/>
          <w:sz w:val="24"/>
          <w:szCs w:val="24"/>
        </w:rPr>
        <w:t>. 1228</w:t>
      </w:r>
      <w:r w:rsidRPr="009C6C87">
        <w:rPr>
          <w:rFonts w:ascii="Times New Roman" w:hAnsi="Times New Roman" w:cs="Times New Roman"/>
          <w:i/>
          <w:sz w:val="24"/>
          <w:szCs w:val="24"/>
        </w:rPr>
        <w:t xml:space="preserve"> (La responsabilité </w:t>
      </w:r>
      <w:r w:rsidR="001E18C3">
        <w:rPr>
          <w:rFonts w:ascii="Times New Roman" w:hAnsi="Times New Roman" w:cs="Times New Roman"/>
          <w:i/>
          <w:sz w:val="24"/>
          <w:szCs w:val="24"/>
        </w:rPr>
        <w:t>du notaire</w:t>
      </w:r>
      <w:r w:rsidRPr="009C6C87">
        <w:rPr>
          <w:rFonts w:ascii="Times New Roman" w:hAnsi="Times New Roman" w:cs="Times New Roman"/>
          <w:i/>
          <w:sz w:val="24"/>
          <w:szCs w:val="24"/>
        </w:rPr>
        <w:t xml:space="preserve"> à la mesure de la loi Carrez)</w:t>
      </w:r>
    </w:p>
    <w:p w:rsidR="007B08E2" w:rsidRPr="00940663" w:rsidRDefault="007B08E2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 xml:space="preserve">Obs. sous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 xml:space="preserve">. Com. 6 mai 2008, en collaboration avec le Pr. Daniel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Mainguy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 xml:space="preserve">, </w:t>
      </w:r>
      <w:r w:rsidRPr="00940663">
        <w:rPr>
          <w:rFonts w:ascii="Times New Roman" w:hAnsi="Times New Roman" w:cs="Times New Roman"/>
          <w:i/>
          <w:sz w:val="24"/>
          <w:szCs w:val="24"/>
        </w:rPr>
        <w:t xml:space="preserve">LPA </w:t>
      </w:r>
      <w:r w:rsidRPr="00940663">
        <w:rPr>
          <w:rFonts w:ascii="Times New Roman" w:hAnsi="Times New Roman" w:cs="Times New Roman"/>
          <w:sz w:val="24"/>
          <w:szCs w:val="24"/>
        </w:rPr>
        <w:t>2 juillet 2009, n° 131, p. 7 (</w:t>
      </w:r>
      <w:r w:rsidRPr="00940663">
        <w:rPr>
          <w:rFonts w:ascii="Times New Roman" w:hAnsi="Times New Roman" w:cs="Times New Roman"/>
          <w:i/>
          <w:sz w:val="24"/>
          <w:szCs w:val="24"/>
        </w:rPr>
        <w:t>Vente de livres, admission de la gratuité de la livraison)</w:t>
      </w:r>
    </w:p>
    <w:p w:rsidR="007D63DF" w:rsidRPr="00940663" w:rsidRDefault="007D63DF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 xml:space="preserve">Observations sous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>. 1</w:t>
      </w:r>
      <w:r w:rsidRPr="00940663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940663">
        <w:rPr>
          <w:rFonts w:ascii="Times New Roman" w:hAnsi="Times New Roman" w:cs="Times New Roman"/>
          <w:sz w:val="24"/>
          <w:szCs w:val="24"/>
        </w:rPr>
        <w:t xml:space="preserve">, 31 mai 2007, </w:t>
      </w:r>
      <w:r w:rsidRPr="00940663">
        <w:rPr>
          <w:rFonts w:ascii="Times New Roman" w:hAnsi="Times New Roman" w:cs="Times New Roman"/>
          <w:i/>
          <w:iCs/>
          <w:sz w:val="24"/>
          <w:szCs w:val="24"/>
        </w:rPr>
        <w:t xml:space="preserve">JCP E </w:t>
      </w:r>
      <w:r w:rsidRPr="00940663">
        <w:rPr>
          <w:rFonts w:ascii="Times New Roman" w:hAnsi="Times New Roman" w:cs="Times New Roman"/>
          <w:sz w:val="24"/>
          <w:szCs w:val="24"/>
        </w:rPr>
        <w:t>2008. 1467 (</w:t>
      </w:r>
      <w:r w:rsidRPr="004B5A08">
        <w:rPr>
          <w:rFonts w:ascii="Times New Roman" w:hAnsi="Times New Roman" w:cs="Times New Roman"/>
          <w:i/>
          <w:sz w:val="24"/>
          <w:szCs w:val="24"/>
        </w:rPr>
        <w:t>fausseté partielle de la cause</w:t>
      </w:r>
      <w:r w:rsidRPr="00940663">
        <w:rPr>
          <w:rFonts w:ascii="Times New Roman" w:hAnsi="Times New Roman" w:cs="Times New Roman"/>
          <w:sz w:val="24"/>
          <w:szCs w:val="24"/>
        </w:rPr>
        <w:t>)</w:t>
      </w:r>
    </w:p>
    <w:p w:rsidR="007D63DF" w:rsidRDefault="007D63DF" w:rsidP="00940663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 xml:space="preserve">Note sous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 xml:space="preserve">. Com. 20 novembre 2007, en collaboration avec Daniel 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Mainguy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 xml:space="preserve">, </w:t>
      </w:r>
      <w:r w:rsidRPr="00940663">
        <w:rPr>
          <w:rFonts w:ascii="Times New Roman" w:hAnsi="Times New Roman" w:cs="Times New Roman"/>
          <w:i/>
          <w:iCs/>
          <w:sz w:val="24"/>
          <w:szCs w:val="24"/>
        </w:rPr>
        <w:t>JCP E</w:t>
      </w:r>
      <w:r w:rsidRPr="00940663">
        <w:rPr>
          <w:rFonts w:ascii="Times New Roman" w:hAnsi="Times New Roman" w:cs="Times New Roman"/>
          <w:sz w:val="24"/>
          <w:szCs w:val="24"/>
        </w:rPr>
        <w:t xml:space="preserve"> 2008. 1429 (</w:t>
      </w:r>
      <w:r w:rsidRPr="004B5A08">
        <w:rPr>
          <w:rFonts w:ascii="Times New Roman" w:hAnsi="Times New Roman" w:cs="Times New Roman"/>
          <w:i/>
          <w:sz w:val="24"/>
          <w:szCs w:val="24"/>
        </w:rPr>
        <w:t>vente avec prime affectant des livres</w:t>
      </w:r>
      <w:r w:rsidRPr="00940663">
        <w:rPr>
          <w:rFonts w:ascii="Times New Roman" w:hAnsi="Times New Roman" w:cs="Times New Roman"/>
          <w:sz w:val="24"/>
          <w:szCs w:val="24"/>
        </w:rPr>
        <w:t>)</w:t>
      </w:r>
    </w:p>
    <w:p w:rsidR="002A72C9" w:rsidRDefault="002A72C9" w:rsidP="002A7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2C9" w:rsidRPr="00585061" w:rsidRDefault="002A72C9" w:rsidP="002A72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Fascicule</w:t>
      </w:r>
      <w:r w:rsidR="00585061" w:rsidRPr="00585061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7D63DF" w:rsidRPr="002A72C9" w:rsidRDefault="002A72C9" w:rsidP="002A72C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>Fascicule « Paiement » au Répertoire civil Dalloz, en collaboration avec le Professeur Marie-Laure Mathieu-</w:t>
      </w:r>
      <w:proofErr w:type="spellStart"/>
      <w:r w:rsidRPr="00940663">
        <w:rPr>
          <w:rFonts w:ascii="Times New Roman" w:hAnsi="Times New Roman" w:cs="Times New Roman"/>
          <w:sz w:val="24"/>
          <w:szCs w:val="24"/>
        </w:rPr>
        <w:t>Izorche</w:t>
      </w:r>
      <w:proofErr w:type="spellEnd"/>
      <w:r w:rsidRPr="00940663">
        <w:rPr>
          <w:rFonts w:ascii="Times New Roman" w:hAnsi="Times New Roman" w:cs="Times New Roman"/>
          <w:sz w:val="24"/>
          <w:szCs w:val="24"/>
        </w:rPr>
        <w:t>, 2009</w:t>
      </w:r>
    </w:p>
    <w:p w:rsidR="00B56102" w:rsidRDefault="00B56102" w:rsidP="00B5610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56102" w:rsidRPr="00585061" w:rsidRDefault="00B56102" w:rsidP="00B5610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Divers</w:t>
      </w:r>
    </w:p>
    <w:p w:rsidR="00B56102" w:rsidRPr="00B56102" w:rsidRDefault="00B56102" w:rsidP="00B56102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102">
        <w:rPr>
          <w:rFonts w:ascii="Times New Roman" w:hAnsi="Times New Roman" w:cs="Times New Roman"/>
          <w:sz w:val="24"/>
          <w:szCs w:val="24"/>
        </w:rPr>
        <w:t>Sommaires d’arrêts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6102">
        <w:rPr>
          <w:rFonts w:ascii="Times New Roman" w:hAnsi="Times New Roman" w:cs="Times New Roman"/>
          <w:sz w:val="24"/>
          <w:szCs w:val="24"/>
        </w:rPr>
        <w:t xml:space="preserve"> Cour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6102">
        <w:rPr>
          <w:rFonts w:ascii="Times New Roman" w:hAnsi="Times New Roman" w:cs="Times New Roman"/>
          <w:sz w:val="24"/>
          <w:szCs w:val="24"/>
        </w:rPr>
        <w:t xml:space="preserve"> d’appel en droit de la copropriété, </w:t>
      </w:r>
      <w:r w:rsidRPr="00B56102">
        <w:rPr>
          <w:rFonts w:ascii="Times New Roman" w:hAnsi="Times New Roman" w:cs="Times New Roman"/>
          <w:i/>
          <w:sz w:val="24"/>
          <w:szCs w:val="24"/>
        </w:rPr>
        <w:t xml:space="preserve">Revue des Loyers, </w:t>
      </w:r>
      <w:r w:rsidRPr="00B56102">
        <w:rPr>
          <w:rFonts w:ascii="Times New Roman" w:hAnsi="Times New Roman" w:cs="Times New Roman"/>
          <w:sz w:val="24"/>
          <w:szCs w:val="24"/>
        </w:rPr>
        <w:t>Lamy, depuis mars 2013</w:t>
      </w:r>
    </w:p>
    <w:p w:rsidR="005E2CE7" w:rsidRDefault="005E2CE7" w:rsidP="007D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204" w:rsidRDefault="00F17204" w:rsidP="007D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3DF" w:rsidRPr="005E2CE7" w:rsidRDefault="003D3A84" w:rsidP="005E2CE7">
      <w:pPr>
        <w:pBdr>
          <w:bottom w:val="threeDEmboss" w:sz="12" w:space="1" w:color="7F7F7F" w:themeColor="text1" w:themeTint="8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CE7">
        <w:rPr>
          <w:rFonts w:ascii="Times New Roman" w:hAnsi="Times New Roman" w:cs="Times New Roman"/>
          <w:b/>
          <w:i/>
          <w:sz w:val="28"/>
          <w:szCs w:val="28"/>
        </w:rPr>
        <w:t>CO</w:t>
      </w:r>
      <w:r w:rsidR="002A72C9">
        <w:rPr>
          <w:rFonts w:ascii="Times New Roman" w:hAnsi="Times New Roman" w:cs="Times New Roman"/>
          <w:b/>
          <w:i/>
          <w:sz w:val="28"/>
          <w:szCs w:val="28"/>
        </w:rPr>
        <w:t>NFÉRENCES</w:t>
      </w:r>
    </w:p>
    <w:p w:rsidR="00940663" w:rsidRPr="00940663" w:rsidRDefault="00940663" w:rsidP="0094066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23AC7" w:rsidRPr="00123AC7" w:rsidRDefault="00123AC7" w:rsidP="00B56102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Les innovations relatives à la déclaration de créance, </w:t>
      </w:r>
      <w:r>
        <w:rPr>
          <w:rFonts w:ascii="Times New Roman" w:hAnsi="Times New Roman" w:cs="Times New Roman"/>
          <w:sz w:val="24"/>
          <w:szCs w:val="24"/>
        </w:rPr>
        <w:t xml:space="preserve">Colloque : </w:t>
      </w:r>
      <w:r>
        <w:rPr>
          <w:rFonts w:ascii="Times New Roman" w:hAnsi="Times New Roman" w:cs="Times New Roman"/>
          <w:i/>
          <w:sz w:val="24"/>
          <w:szCs w:val="24"/>
        </w:rPr>
        <w:t xml:space="preserve">L’essentiel sur la réforme du droit des entreprises en difficulté, </w:t>
      </w:r>
      <w:r>
        <w:rPr>
          <w:rFonts w:ascii="Times New Roman" w:hAnsi="Times New Roman" w:cs="Times New Roman"/>
          <w:sz w:val="24"/>
          <w:szCs w:val="24"/>
        </w:rPr>
        <w:t>Montpellier, 16 oct. 2014</w:t>
      </w:r>
    </w:p>
    <w:p w:rsidR="006F2B8D" w:rsidRPr="006F2B8D" w:rsidRDefault="006F2B8D" w:rsidP="00B56102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Quel contrat conclure ? La délimitation des domaines des différents contrats, </w:t>
      </w:r>
      <w:r>
        <w:rPr>
          <w:rFonts w:ascii="Times New Roman" w:hAnsi="Times New Roman" w:cs="Times New Roman"/>
          <w:sz w:val="24"/>
          <w:szCs w:val="24"/>
        </w:rPr>
        <w:t>Les robes du droit de la construction, Montpellier, 24 mars 2014</w:t>
      </w:r>
    </w:p>
    <w:p w:rsidR="00C45D5E" w:rsidRPr="00C45D5E" w:rsidRDefault="00C45D5E" w:rsidP="00B56102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 saisie immobilière et la copropriété, </w:t>
      </w:r>
      <w:r>
        <w:rPr>
          <w:rFonts w:ascii="Times New Roman" w:hAnsi="Times New Roman" w:cs="Times New Roman"/>
          <w:sz w:val="24"/>
          <w:szCs w:val="24"/>
        </w:rPr>
        <w:t>Colloque sur la saisie immobilière, approche transversale, Montpellier, Laboratoire de Droit Privé, 4 et 5 octobre 2013</w:t>
      </w:r>
    </w:p>
    <w:p w:rsidR="00B56102" w:rsidRPr="00B56102" w:rsidRDefault="00B56102" w:rsidP="00B56102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La violence dans les relations contractuelles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610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École Chili-</w:t>
      </w:r>
      <w:proofErr w:type="spellStart"/>
      <w:r>
        <w:rPr>
          <w:rFonts w:ascii="Times New Roman" w:hAnsi="Times New Roman" w:cs="Times New Roman"/>
          <w:sz w:val="24"/>
          <w:szCs w:val="24"/>
        </w:rPr>
        <w:t>Fance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B56102">
        <w:rPr>
          <w:rFonts w:ascii="Times New Roman" w:hAnsi="Times New Roman" w:cs="Times New Roman"/>
          <w:sz w:val="24"/>
          <w:szCs w:val="24"/>
        </w:rPr>
        <w:t>Peur, surveillance sociale et Altérité</w:t>
      </w:r>
      <w:r>
        <w:rPr>
          <w:rFonts w:ascii="Times New Roman" w:hAnsi="Times New Roman" w:cs="Times New Roman"/>
          <w:sz w:val="24"/>
          <w:szCs w:val="24"/>
        </w:rPr>
        <w:t>, Chaire Michel Foucault – Ambassade de France au Chili, Santiago (Chili), 6-8 mai 2013</w:t>
      </w:r>
    </w:p>
    <w:p w:rsidR="00EB1EBC" w:rsidRPr="00EB1EBC" w:rsidRDefault="00EB1EBC" w:rsidP="0094066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Existe-t-il un droit à la gratuité ?</w:t>
      </w:r>
      <w:r>
        <w:rPr>
          <w:rFonts w:ascii="Times New Roman" w:hAnsi="Times New Roman" w:cs="Times New Roman"/>
          <w:sz w:val="24"/>
          <w:szCs w:val="24"/>
        </w:rPr>
        <w:t>, Colloque sur la gratuité, Aix-en-</w:t>
      </w:r>
      <w:r w:rsidR="002E21F4">
        <w:rPr>
          <w:rFonts w:ascii="Times New Roman" w:hAnsi="Times New Roman" w:cs="Times New Roman"/>
          <w:sz w:val="24"/>
          <w:szCs w:val="24"/>
        </w:rPr>
        <w:t>Provence, Laboratoire de Droit privé et Sciences criminelles, 28 mars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A66" w:rsidRPr="00E13A66" w:rsidRDefault="00E13A66" w:rsidP="0094066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Le p</w:t>
      </w:r>
      <w:r w:rsidR="00E36F80" w:rsidRPr="00585061">
        <w:rPr>
          <w:rFonts w:ascii="Times New Roman" w:hAnsi="Times New Roman" w:cs="Times New Roman"/>
          <w:b/>
          <w:i/>
          <w:sz w:val="24"/>
          <w:szCs w:val="24"/>
        </w:rPr>
        <w:t>romoteur face à ses obligations – Actualité des garanties d’achèvement</w:t>
      </w:r>
      <w:r w:rsidR="00E36F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8C3">
        <w:rPr>
          <w:rFonts w:ascii="Times New Roman" w:hAnsi="Times New Roman" w:cs="Times New Roman"/>
          <w:sz w:val="24"/>
          <w:szCs w:val="24"/>
        </w:rPr>
        <w:t xml:space="preserve">Colloque de l’ICH Montpellier, </w:t>
      </w:r>
      <w:r>
        <w:rPr>
          <w:rFonts w:ascii="Times New Roman" w:hAnsi="Times New Roman" w:cs="Times New Roman"/>
          <w:sz w:val="24"/>
          <w:szCs w:val="24"/>
        </w:rPr>
        <w:t>27 janvier 2012</w:t>
      </w:r>
    </w:p>
    <w:p w:rsidR="00E13A66" w:rsidRPr="00E13A66" w:rsidRDefault="0079188B" w:rsidP="0094066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L’implantation de</w:t>
      </w:r>
      <w:r w:rsidR="00E13A66" w:rsidRPr="00585061">
        <w:rPr>
          <w:rFonts w:ascii="Times New Roman" w:hAnsi="Times New Roman" w:cs="Times New Roman"/>
          <w:b/>
          <w:i/>
          <w:sz w:val="24"/>
          <w:szCs w:val="24"/>
        </w:rPr>
        <w:t xml:space="preserve"> panneaux photovoltaïques</w:t>
      </w:r>
      <w:r w:rsidR="00192DA6" w:rsidRPr="00585061">
        <w:rPr>
          <w:rFonts w:ascii="Times New Roman" w:hAnsi="Times New Roman" w:cs="Times New Roman"/>
          <w:b/>
          <w:i/>
          <w:sz w:val="24"/>
          <w:szCs w:val="24"/>
        </w:rPr>
        <w:t xml:space="preserve"> ou d’éoliennes</w:t>
      </w:r>
      <w:r w:rsidR="00E13A66" w:rsidRPr="00585061">
        <w:rPr>
          <w:rFonts w:ascii="Times New Roman" w:hAnsi="Times New Roman" w:cs="Times New Roman"/>
          <w:b/>
          <w:i/>
          <w:sz w:val="24"/>
          <w:szCs w:val="24"/>
        </w:rPr>
        <w:t xml:space="preserve"> et le droit de la copropriété</w:t>
      </w:r>
      <w:r w:rsidR="00E13A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3A66">
        <w:rPr>
          <w:rFonts w:ascii="Times New Roman" w:hAnsi="Times New Roman" w:cs="Times New Roman"/>
          <w:sz w:val="24"/>
          <w:szCs w:val="24"/>
        </w:rPr>
        <w:t xml:space="preserve">Colloque sur Les énergies nouvelles, photovoltaïque et éolienne, </w:t>
      </w:r>
      <w:r w:rsidR="00E13A66">
        <w:rPr>
          <w:rFonts w:ascii="Times New Roman" w:hAnsi="Times New Roman" w:cs="Times New Roman"/>
          <w:sz w:val="24"/>
          <w:szCs w:val="24"/>
        </w:rPr>
        <w:lastRenderedPageBreak/>
        <w:t>approche juridique, organisé par le Laboratoire de Droit privé et le Centre de Rec</w:t>
      </w:r>
      <w:r w:rsidR="00A23286">
        <w:rPr>
          <w:rFonts w:ascii="Times New Roman" w:hAnsi="Times New Roman" w:cs="Times New Roman"/>
          <w:sz w:val="24"/>
          <w:szCs w:val="24"/>
        </w:rPr>
        <w:t>herche et d’Études Administratives</w:t>
      </w:r>
      <w:r w:rsidR="00E13A66">
        <w:rPr>
          <w:rFonts w:ascii="Times New Roman" w:hAnsi="Times New Roman" w:cs="Times New Roman"/>
          <w:sz w:val="24"/>
          <w:szCs w:val="24"/>
        </w:rPr>
        <w:t xml:space="preserve"> de Montpellier, le 2 décembre 2011</w:t>
      </w:r>
    </w:p>
    <w:p w:rsidR="00125584" w:rsidRPr="009C6C87" w:rsidRDefault="00125584" w:rsidP="0094066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La motivation des directives de l'Union Européenne</w:t>
      </w:r>
      <w:r w:rsidRPr="009C6C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6C87">
        <w:rPr>
          <w:rFonts w:ascii="Times New Roman" w:hAnsi="Times New Roman" w:cs="Times New Roman"/>
          <w:sz w:val="24"/>
          <w:szCs w:val="24"/>
        </w:rPr>
        <w:t xml:space="preserve">Colloque sur </w:t>
      </w:r>
      <w:r w:rsidR="008F0CCA" w:rsidRPr="009C6C87">
        <w:rPr>
          <w:rFonts w:ascii="Times New Roman" w:hAnsi="Times New Roman" w:cs="Times New Roman"/>
          <w:sz w:val="24"/>
          <w:szCs w:val="24"/>
        </w:rPr>
        <w:t>« L</w:t>
      </w:r>
      <w:r w:rsidRPr="009C6C87">
        <w:rPr>
          <w:rFonts w:ascii="Times New Roman" w:hAnsi="Times New Roman" w:cs="Times New Roman"/>
          <w:sz w:val="24"/>
          <w:szCs w:val="24"/>
        </w:rPr>
        <w:t>a motivation</w:t>
      </w:r>
      <w:r w:rsidR="008F0CCA" w:rsidRPr="009C6C87">
        <w:rPr>
          <w:rFonts w:ascii="Times New Roman" w:hAnsi="Times New Roman" w:cs="Times New Roman"/>
          <w:sz w:val="24"/>
          <w:szCs w:val="24"/>
        </w:rPr>
        <w:t> »</w:t>
      </w:r>
      <w:r w:rsidRPr="009C6C87">
        <w:rPr>
          <w:rFonts w:ascii="Times New Roman" w:hAnsi="Times New Roman" w:cs="Times New Roman"/>
          <w:sz w:val="24"/>
          <w:szCs w:val="24"/>
        </w:rPr>
        <w:t>, organisé par le Laboratoire de Droit Privé</w:t>
      </w:r>
      <w:r w:rsidR="004B5A08" w:rsidRPr="009C6C87">
        <w:rPr>
          <w:rFonts w:ascii="Times New Roman" w:hAnsi="Times New Roman" w:cs="Times New Roman"/>
          <w:sz w:val="24"/>
          <w:szCs w:val="24"/>
        </w:rPr>
        <w:t xml:space="preserve">, </w:t>
      </w:r>
      <w:r w:rsidRPr="009C6C87">
        <w:rPr>
          <w:rFonts w:ascii="Times New Roman" w:hAnsi="Times New Roman" w:cs="Times New Roman"/>
          <w:sz w:val="24"/>
          <w:szCs w:val="24"/>
        </w:rPr>
        <w:t>Université Montpellier 1, le 26 novembre 2010</w:t>
      </w:r>
    </w:p>
    <w:p w:rsidR="007D63DF" w:rsidRPr="009C6C87" w:rsidRDefault="00125584" w:rsidP="0094066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61">
        <w:rPr>
          <w:rFonts w:ascii="Times New Roman" w:hAnsi="Times New Roman" w:cs="Times New Roman"/>
          <w:b/>
          <w:i/>
          <w:sz w:val="24"/>
          <w:szCs w:val="24"/>
        </w:rPr>
        <w:t>La protection de l’accédant immobilier</w:t>
      </w:r>
      <w:r w:rsidRPr="009C6C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63DF" w:rsidRPr="009C6C87">
        <w:rPr>
          <w:rFonts w:ascii="Times New Roman" w:hAnsi="Times New Roman" w:cs="Times New Roman"/>
          <w:sz w:val="24"/>
          <w:szCs w:val="24"/>
        </w:rPr>
        <w:t xml:space="preserve">Intervention aux Journées Franco-Belges de droit </w:t>
      </w:r>
      <w:r w:rsidRPr="009C6C87">
        <w:rPr>
          <w:rFonts w:ascii="Times New Roman" w:hAnsi="Times New Roman" w:cs="Times New Roman"/>
          <w:sz w:val="24"/>
          <w:szCs w:val="24"/>
        </w:rPr>
        <w:t xml:space="preserve">notarial, 24 mars 2010, </w:t>
      </w:r>
      <w:r w:rsidR="007D63DF" w:rsidRPr="009C6C87">
        <w:rPr>
          <w:rFonts w:ascii="Times New Roman" w:hAnsi="Times New Roman" w:cs="Times New Roman"/>
          <w:sz w:val="24"/>
          <w:szCs w:val="24"/>
        </w:rPr>
        <w:t>Université Montpellier 1</w:t>
      </w:r>
    </w:p>
    <w:p w:rsidR="005E2CE7" w:rsidRDefault="005E2CE7" w:rsidP="00C1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647" w:rsidRDefault="008F2647" w:rsidP="00C1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647" w:rsidRDefault="008F2647" w:rsidP="00C1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3DF" w:rsidRPr="005E2CE7" w:rsidRDefault="007D63DF" w:rsidP="005E2CE7">
      <w:pPr>
        <w:pBdr>
          <w:bottom w:val="threeDEmboss" w:sz="12" w:space="1" w:color="7F7F7F" w:themeColor="text1" w:themeTint="8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CE7">
        <w:rPr>
          <w:rFonts w:ascii="Times New Roman" w:hAnsi="Times New Roman" w:cs="Times New Roman"/>
          <w:b/>
          <w:i/>
          <w:sz w:val="28"/>
          <w:szCs w:val="28"/>
        </w:rPr>
        <w:t>ENSEIGNEMENTS</w:t>
      </w:r>
    </w:p>
    <w:p w:rsidR="00940663" w:rsidRPr="00940663" w:rsidRDefault="00940663" w:rsidP="0094066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CF0444" w:rsidRPr="005E2CE7" w:rsidRDefault="00125584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ADA">
        <w:rPr>
          <w:rFonts w:ascii="Times New Roman" w:hAnsi="Times New Roman" w:cs="Times New Roman"/>
          <w:i/>
          <w:sz w:val="24"/>
          <w:szCs w:val="24"/>
        </w:rPr>
        <w:t>Droit de la copropriété</w:t>
      </w:r>
    </w:p>
    <w:p w:rsidR="00125584" w:rsidRPr="005E2CE7" w:rsidRDefault="00125584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ADA">
        <w:rPr>
          <w:rFonts w:ascii="Times New Roman" w:hAnsi="Times New Roman" w:cs="Times New Roman"/>
          <w:i/>
          <w:sz w:val="24"/>
          <w:szCs w:val="24"/>
        </w:rPr>
        <w:t>Droit de la promotion immobilière</w:t>
      </w:r>
    </w:p>
    <w:p w:rsidR="00125584" w:rsidRPr="00E56ADA" w:rsidRDefault="00125584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ADA">
        <w:rPr>
          <w:rFonts w:ascii="Times New Roman" w:hAnsi="Times New Roman" w:cs="Times New Roman"/>
          <w:i/>
          <w:sz w:val="24"/>
          <w:szCs w:val="24"/>
        </w:rPr>
        <w:t xml:space="preserve">Droit des </w:t>
      </w:r>
      <w:r w:rsidR="001D3137" w:rsidRPr="00E56ADA">
        <w:rPr>
          <w:rFonts w:ascii="Times New Roman" w:hAnsi="Times New Roman" w:cs="Times New Roman"/>
          <w:i/>
          <w:sz w:val="24"/>
          <w:szCs w:val="24"/>
        </w:rPr>
        <w:t>biens</w:t>
      </w:r>
    </w:p>
    <w:p w:rsidR="001D3137" w:rsidRPr="008F2647" w:rsidRDefault="001D3137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ADA">
        <w:rPr>
          <w:rFonts w:ascii="Times New Roman" w:hAnsi="Times New Roman" w:cs="Times New Roman"/>
          <w:i/>
          <w:sz w:val="24"/>
          <w:szCs w:val="24"/>
        </w:rPr>
        <w:t>Droit des libéralités</w:t>
      </w:r>
    </w:p>
    <w:p w:rsidR="008F2647" w:rsidRPr="005E2CE7" w:rsidRDefault="008F2647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Droit des régimes matrimoniaux</w:t>
      </w:r>
      <w:r>
        <w:rPr>
          <w:rFonts w:ascii="Times New Roman" w:hAnsi="Times New Roman" w:cs="Times New Roman"/>
          <w:sz w:val="24"/>
          <w:szCs w:val="24"/>
        </w:rPr>
        <w:t xml:space="preserve"> (Université de Nîmes)</w:t>
      </w:r>
    </w:p>
    <w:p w:rsidR="00E56ADA" w:rsidRDefault="00125584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ADA">
        <w:rPr>
          <w:rFonts w:ascii="Times New Roman" w:hAnsi="Times New Roman" w:cs="Times New Roman"/>
          <w:i/>
          <w:sz w:val="24"/>
          <w:szCs w:val="24"/>
        </w:rPr>
        <w:t>Droit des obligations</w:t>
      </w:r>
    </w:p>
    <w:p w:rsidR="008F2647" w:rsidRPr="008F2647" w:rsidRDefault="008F2647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Droit des sûretés </w:t>
      </w:r>
      <w:r>
        <w:rPr>
          <w:rFonts w:ascii="Times New Roman" w:hAnsi="Times New Roman" w:cs="Times New Roman"/>
          <w:sz w:val="24"/>
          <w:szCs w:val="24"/>
        </w:rPr>
        <w:t>(IDAI, Université Paris 1, Le Caire)</w:t>
      </w:r>
    </w:p>
    <w:p w:rsidR="00E56ADA" w:rsidRPr="00E56ADA" w:rsidRDefault="008F2647" w:rsidP="005E2CE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125584" w:rsidRPr="00E56ADA">
        <w:rPr>
          <w:rFonts w:ascii="Times New Roman" w:hAnsi="Times New Roman" w:cs="Times New Roman"/>
          <w:i/>
          <w:sz w:val="24"/>
          <w:szCs w:val="24"/>
        </w:rPr>
        <w:t>rocédures collectives</w:t>
      </w:r>
    </w:p>
    <w:p w:rsidR="0073495B" w:rsidRDefault="0073495B" w:rsidP="007D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137" w:rsidRPr="005E2CE7" w:rsidRDefault="001D3137" w:rsidP="005E2CE7">
      <w:pPr>
        <w:pBdr>
          <w:bottom w:val="threeDEmboss" w:sz="12" w:space="1" w:color="7F7F7F" w:themeColor="text1" w:themeTint="8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CE7">
        <w:rPr>
          <w:rFonts w:ascii="Times New Roman" w:hAnsi="Times New Roman" w:cs="Times New Roman"/>
          <w:b/>
          <w:i/>
          <w:sz w:val="28"/>
          <w:szCs w:val="28"/>
        </w:rPr>
        <w:t>DIVERS</w:t>
      </w:r>
    </w:p>
    <w:p w:rsidR="00940663" w:rsidRDefault="00940663" w:rsidP="0094066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947F1" w:rsidRDefault="003947F1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Membre de l’Association </w:t>
      </w:r>
      <w:r w:rsidRPr="00585061">
        <w:rPr>
          <w:rFonts w:ascii="Times New Roman" w:hAnsi="Times New Roman" w:cs="Times New Roman"/>
          <w:i/>
          <w:sz w:val="24"/>
          <w:szCs w:val="24"/>
        </w:rPr>
        <w:t>Trans Europe Experts</w:t>
      </w:r>
      <w:r>
        <w:rPr>
          <w:rFonts w:ascii="Times New Roman" w:hAnsi="Times New Roman" w:cs="Times New Roman"/>
          <w:sz w:val="24"/>
          <w:szCs w:val="24"/>
        </w:rPr>
        <w:t>, Pôle Droit de l’insolvabilité</w:t>
      </w:r>
    </w:p>
    <w:p w:rsidR="008E5B08" w:rsidRPr="00F17204" w:rsidRDefault="008E5B08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Membre de l’Association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Gentium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France </w:t>
      </w:r>
      <w:r w:rsidR="00F1720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Russie</w:t>
      </w:r>
    </w:p>
    <w:p w:rsidR="00915880" w:rsidRDefault="00915880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d</w:t>
      </w:r>
      <w:r w:rsidR="00060A1A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jury</w:t>
      </w:r>
      <w:r w:rsidR="00060A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thèse d’Alexandre Vasquez, </w:t>
      </w:r>
      <w:r>
        <w:rPr>
          <w:rFonts w:ascii="Times New Roman" w:hAnsi="Times New Roman" w:cs="Times New Roman"/>
          <w:i/>
          <w:sz w:val="24"/>
          <w:szCs w:val="24"/>
        </w:rPr>
        <w:t xml:space="preserve">La cession des entreprises en difficulté,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Ph. </w:t>
      </w:r>
      <w:proofErr w:type="spellStart"/>
      <w:r>
        <w:rPr>
          <w:rFonts w:ascii="Times New Roman" w:hAnsi="Times New Roman" w:cs="Times New Roman"/>
          <w:sz w:val="24"/>
          <w:szCs w:val="24"/>
        </w:rPr>
        <w:t>Pétel</w:t>
      </w:r>
      <w:proofErr w:type="spellEnd"/>
      <w:r>
        <w:rPr>
          <w:rFonts w:ascii="Times New Roman" w:hAnsi="Times New Roman" w:cs="Times New Roman"/>
          <w:sz w:val="24"/>
          <w:szCs w:val="24"/>
        </w:rPr>
        <w:t>, Montpellier, 21 déc. 2012</w:t>
      </w:r>
      <w:r w:rsidR="00060A1A">
        <w:rPr>
          <w:rFonts w:ascii="Times New Roman" w:hAnsi="Times New Roman" w:cs="Times New Roman"/>
          <w:sz w:val="24"/>
          <w:szCs w:val="24"/>
        </w:rPr>
        <w:t xml:space="preserve"> et de Thomas </w:t>
      </w:r>
      <w:proofErr w:type="spellStart"/>
      <w:r w:rsidR="00060A1A">
        <w:rPr>
          <w:rFonts w:ascii="Times New Roman" w:hAnsi="Times New Roman" w:cs="Times New Roman"/>
          <w:sz w:val="24"/>
          <w:szCs w:val="24"/>
        </w:rPr>
        <w:t>Karfo</w:t>
      </w:r>
      <w:proofErr w:type="spellEnd"/>
      <w:r w:rsidR="00060A1A">
        <w:rPr>
          <w:rFonts w:ascii="Times New Roman" w:hAnsi="Times New Roman" w:cs="Times New Roman"/>
          <w:sz w:val="24"/>
          <w:szCs w:val="24"/>
        </w:rPr>
        <w:t xml:space="preserve">, </w:t>
      </w:r>
      <w:r w:rsidR="00060A1A">
        <w:rPr>
          <w:rFonts w:ascii="Times New Roman" w:hAnsi="Times New Roman" w:cs="Times New Roman"/>
          <w:i/>
          <w:sz w:val="24"/>
          <w:szCs w:val="24"/>
        </w:rPr>
        <w:t xml:space="preserve">Paiement des créanciers, sauvetage de l’entreprise : Étude comparative des législations OHADA et </w:t>
      </w:r>
      <w:proofErr w:type="spellStart"/>
      <w:r w:rsidR="00060A1A">
        <w:rPr>
          <w:rFonts w:ascii="Times New Roman" w:hAnsi="Times New Roman" w:cs="Times New Roman"/>
          <w:i/>
          <w:sz w:val="24"/>
          <w:szCs w:val="24"/>
        </w:rPr>
        <w:t>freançaise</w:t>
      </w:r>
      <w:proofErr w:type="spellEnd"/>
      <w:r w:rsidR="00060A1A">
        <w:rPr>
          <w:rFonts w:ascii="Times New Roman" w:hAnsi="Times New Roman" w:cs="Times New Roman"/>
          <w:i/>
          <w:sz w:val="24"/>
          <w:szCs w:val="24"/>
        </w:rPr>
        <w:t xml:space="preserve"> de sauvegarde judiciaire des entreprises en difficulté, </w:t>
      </w:r>
      <w:proofErr w:type="spellStart"/>
      <w:r w:rsidR="00060A1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060A1A">
        <w:rPr>
          <w:rFonts w:ascii="Times New Roman" w:hAnsi="Times New Roman" w:cs="Times New Roman"/>
          <w:sz w:val="24"/>
          <w:szCs w:val="24"/>
        </w:rPr>
        <w:t>. S. Neuville, Toulouse, 20 déc. 2014</w:t>
      </w:r>
    </w:p>
    <w:p w:rsidR="001D3137" w:rsidRPr="00940663" w:rsidRDefault="001D3137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 xml:space="preserve">Correcteur du pré-CAPA, </w:t>
      </w:r>
      <w:r w:rsidR="008F0CCA" w:rsidRPr="005E2CE7">
        <w:rPr>
          <w:rFonts w:ascii="Times New Roman" w:hAnsi="Times New Roman" w:cs="Times New Roman"/>
          <w:sz w:val="24"/>
          <w:szCs w:val="24"/>
        </w:rPr>
        <w:t>I</w:t>
      </w:r>
      <w:r w:rsidR="008F0CCA">
        <w:rPr>
          <w:rFonts w:ascii="Times New Roman" w:hAnsi="Times New Roman" w:cs="Times New Roman"/>
          <w:sz w:val="24"/>
          <w:szCs w:val="24"/>
        </w:rPr>
        <w:t xml:space="preserve">nstitut d’Études </w:t>
      </w:r>
      <w:r w:rsidR="008F0CCA" w:rsidRPr="005E2CE7">
        <w:rPr>
          <w:rFonts w:ascii="Times New Roman" w:hAnsi="Times New Roman" w:cs="Times New Roman"/>
          <w:sz w:val="24"/>
          <w:szCs w:val="24"/>
        </w:rPr>
        <w:t>J</w:t>
      </w:r>
      <w:r w:rsidR="008F0CCA">
        <w:rPr>
          <w:rFonts w:ascii="Times New Roman" w:hAnsi="Times New Roman" w:cs="Times New Roman"/>
          <w:sz w:val="24"/>
          <w:szCs w:val="24"/>
        </w:rPr>
        <w:t>udiciaires</w:t>
      </w:r>
      <w:r w:rsidRPr="00940663">
        <w:rPr>
          <w:rFonts w:ascii="Times New Roman" w:hAnsi="Times New Roman" w:cs="Times New Roman"/>
          <w:sz w:val="24"/>
          <w:szCs w:val="24"/>
        </w:rPr>
        <w:t xml:space="preserve"> de Montpellier, en droit des sûretés et procédures collectives</w:t>
      </w:r>
    </w:p>
    <w:p w:rsidR="008B09A4" w:rsidRPr="00940663" w:rsidRDefault="008B09A4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663">
        <w:rPr>
          <w:rFonts w:ascii="Times New Roman" w:hAnsi="Times New Roman" w:cs="Times New Roman"/>
          <w:sz w:val="24"/>
          <w:szCs w:val="24"/>
        </w:rPr>
        <w:t>Direction de mémo</w:t>
      </w:r>
      <w:r w:rsidR="00AD1278">
        <w:rPr>
          <w:rFonts w:ascii="Times New Roman" w:hAnsi="Times New Roman" w:cs="Times New Roman"/>
          <w:sz w:val="24"/>
          <w:szCs w:val="24"/>
        </w:rPr>
        <w:t>ires et rapports de stage DSN, CFP</w:t>
      </w:r>
      <w:r w:rsidRPr="00940663">
        <w:rPr>
          <w:rFonts w:ascii="Times New Roman" w:hAnsi="Times New Roman" w:cs="Times New Roman"/>
          <w:sz w:val="24"/>
          <w:szCs w:val="24"/>
        </w:rPr>
        <w:t>N de Montpellier</w:t>
      </w:r>
    </w:p>
    <w:p w:rsidR="008B09A4" w:rsidRDefault="008F061E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</w:t>
      </w:r>
      <w:r w:rsidR="008B09A4" w:rsidRPr="00940663">
        <w:rPr>
          <w:rFonts w:ascii="Times New Roman" w:hAnsi="Times New Roman" w:cs="Times New Roman"/>
          <w:sz w:val="24"/>
          <w:szCs w:val="24"/>
        </w:rPr>
        <w:t xml:space="preserve"> de jury de certificat de spécialisation, en droit de la construction</w:t>
      </w:r>
      <w:r>
        <w:rPr>
          <w:rFonts w:ascii="Times New Roman" w:hAnsi="Times New Roman" w:cs="Times New Roman"/>
          <w:sz w:val="24"/>
          <w:szCs w:val="24"/>
        </w:rPr>
        <w:t xml:space="preserve"> (mars 2010)</w:t>
      </w:r>
      <w:r w:rsidR="008B09A4" w:rsidRPr="00940663">
        <w:rPr>
          <w:rFonts w:ascii="Times New Roman" w:hAnsi="Times New Roman" w:cs="Times New Roman"/>
          <w:sz w:val="24"/>
          <w:szCs w:val="24"/>
        </w:rPr>
        <w:t xml:space="preserve"> et en procédures collectives</w:t>
      </w:r>
      <w:r>
        <w:rPr>
          <w:rFonts w:ascii="Times New Roman" w:hAnsi="Times New Roman" w:cs="Times New Roman"/>
          <w:sz w:val="24"/>
          <w:szCs w:val="24"/>
        </w:rPr>
        <w:t xml:space="preserve"> (mars 2011)</w:t>
      </w:r>
      <w:r w:rsidR="008B09A4" w:rsidRPr="00940663">
        <w:rPr>
          <w:rFonts w:ascii="Times New Roman" w:hAnsi="Times New Roman" w:cs="Times New Roman"/>
          <w:sz w:val="24"/>
          <w:szCs w:val="24"/>
        </w:rPr>
        <w:t>, à l’Ecole de Formation des Avocats de Centre-Sud (EFACS)</w:t>
      </w:r>
    </w:p>
    <w:p w:rsidR="00C83139" w:rsidRPr="00940663" w:rsidRDefault="00C83139" w:rsidP="00940663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continue des avocats en droit des régimes matrimoniaux, EFACS, Carcassonne, décembre 2013</w:t>
      </w:r>
    </w:p>
    <w:sectPr w:rsidR="00C83139" w:rsidRPr="00940663" w:rsidSect="0005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6B8"/>
    <w:multiLevelType w:val="hybridMultilevel"/>
    <w:tmpl w:val="FCF60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2B1"/>
    <w:multiLevelType w:val="hybridMultilevel"/>
    <w:tmpl w:val="68561876"/>
    <w:lvl w:ilvl="0" w:tplc="C91A7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507F"/>
    <w:multiLevelType w:val="hybridMultilevel"/>
    <w:tmpl w:val="A5205E92"/>
    <w:lvl w:ilvl="0" w:tplc="C91A7318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066AD"/>
    <w:multiLevelType w:val="hybridMultilevel"/>
    <w:tmpl w:val="11984194"/>
    <w:lvl w:ilvl="0" w:tplc="67269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0CD"/>
    <w:multiLevelType w:val="hybridMultilevel"/>
    <w:tmpl w:val="AF422C9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10515E"/>
    <w:multiLevelType w:val="hybridMultilevel"/>
    <w:tmpl w:val="ADF659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6167"/>
    <w:multiLevelType w:val="hybridMultilevel"/>
    <w:tmpl w:val="4980452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97F4B"/>
    <w:multiLevelType w:val="hybridMultilevel"/>
    <w:tmpl w:val="4AA4F8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5C52"/>
    <w:multiLevelType w:val="hybridMultilevel"/>
    <w:tmpl w:val="FE14E352"/>
    <w:lvl w:ilvl="0" w:tplc="89BA2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C0057"/>
    <w:multiLevelType w:val="hybridMultilevel"/>
    <w:tmpl w:val="8F1E0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C119D"/>
    <w:multiLevelType w:val="hybridMultilevel"/>
    <w:tmpl w:val="E5663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199C"/>
    <w:multiLevelType w:val="hybridMultilevel"/>
    <w:tmpl w:val="129E73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C0067"/>
    <w:multiLevelType w:val="hybridMultilevel"/>
    <w:tmpl w:val="2EF03C5A"/>
    <w:lvl w:ilvl="0" w:tplc="DBC48C7E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A0286"/>
    <w:multiLevelType w:val="hybridMultilevel"/>
    <w:tmpl w:val="01EAC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702F"/>
    <w:multiLevelType w:val="hybridMultilevel"/>
    <w:tmpl w:val="39D4F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F60A7"/>
    <w:multiLevelType w:val="hybridMultilevel"/>
    <w:tmpl w:val="89E0E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6520A"/>
    <w:multiLevelType w:val="hybridMultilevel"/>
    <w:tmpl w:val="B98CD4A0"/>
    <w:lvl w:ilvl="0" w:tplc="C91A7318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36EC1"/>
    <w:multiLevelType w:val="hybridMultilevel"/>
    <w:tmpl w:val="87C4D96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9D977EB"/>
    <w:multiLevelType w:val="hybridMultilevel"/>
    <w:tmpl w:val="9FE0CC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820AF"/>
    <w:multiLevelType w:val="hybridMultilevel"/>
    <w:tmpl w:val="493E3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7"/>
  </w:num>
  <w:num w:numId="17">
    <w:abstractNumId w:val="19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05"/>
    <w:rsid w:val="000109A7"/>
    <w:rsid w:val="00024907"/>
    <w:rsid w:val="00054BA3"/>
    <w:rsid w:val="00060A1A"/>
    <w:rsid w:val="000A2CA4"/>
    <w:rsid w:val="000C11BF"/>
    <w:rsid w:val="00104EBD"/>
    <w:rsid w:val="001138B7"/>
    <w:rsid w:val="001169E7"/>
    <w:rsid w:val="00120151"/>
    <w:rsid w:val="00123AC7"/>
    <w:rsid w:val="00125584"/>
    <w:rsid w:val="001267C1"/>
    <w:rsid w:val="00170A1A"/>
    <w:rsid w:val="00182195"/>
    <w:rsid w:val="00192DA6"/>
    <w:rsid w:val="001D2730"/>
    <w:rsid w:val="001D3137"/>
    <w:rsid w:val="001E18C3"/>
    <w:rsid w:val="001E57B5"/>
    <w:rsid w:val="00207415"/>
    <w:rsid w:val="00241A08"/>
    <w:rsid w:val="00284C2E"/>
    <w:rsid w:val="002A0A15"/>
    <w:rsid w:val="002A72C9"/>
    <w:rsid w:val="002B1D48"/>
    <w:rsid w:val="002C2238"/>
    <w:rsid w:val="002C69A7"/>
    <w:rsid w:val="002E21F4"/>
    <w:rsid w:val="002E4926"/>
    <w:rsid w:val="002F684F"/>
    <w:rsid w:val="0037481D"/>
    <w:rsid w:val="003947F1"/>
    <w:rsid w:val="003A029B"/>
    <w:rsid w:val="003A6474"/>
    <w:rsid w:val="003B7E01"/>
    <w:rsid w:val="003D3A84"/>
    <w:rsid w:val="003E024D"/>
    <w:rsid w:val="0047511B"/>
    <w:rsid w:val="004A7581"/>
    <w:rsid w:val="004B5A08"/>
    <w:rsid w:val="004F74EF"/>
    <w:rsid w:val="0050253D"/>
    <w:rsid w:val="005273F4"/>
    <w:rsid w:val="0057526C"/>
    <w:rsid w:val="00585061"/>
    <w:rsid w:val="0058545B"/>
    <w:rsid w:val="00595B52"/>
    <w:rsid w:val="005A1FB8"/>
    <w:rsid w:val="005B4887"/>
    <w:rsid w:val="005E2CE7"/>
    <w:rsid w:val="005F0036"/>
    <w:rsid w:val="00600A43"/>
    <w:rsid w:val="00661153"/>
    <w:rsid w:val="00692644"/>
    <w:rsid w:val="00697868"/>
    <w:rsid w:val="006A677E"/>
    <w:rsid w:val="006B0F37"/>
    <w:rsid w:val="006E48C9"/>
    <w:rsid w:val="006F2B8D"/>
    <w:rsid w:val="0073495B"/>
    <w:rsid w:val="0075491B"/>
    <w:rsid w:val="0079188B"/>
    <w:rsid w:val="007A184C"/>
    <w:rsid w:val="007A7B70"/>
    <w:rsid w:val="007B08E2"/>
    <w:rsid w:val="007B3523"/>
    <w:rsid w:val="007D0AD3"/>
    <w:rsid w:val="007D2781"/>
    <w:rsid w:val="007D63DF"/>
    <w:rsid w:val="00812D11"/>
    <w:rsid w:val="0084473B"/>
    <w:rsid w:val="008A1E4F"/>
    <w:rsid w:val="008A4078"/>
    <w:rsid w:val="008B09A4"/>
    <w:rsid w:val="008E5B08"/>
    <w:rsid w:val="008F061E"/>
    <w:rsid w:val="008F0CCA"/>
    <w:rsid w:val="008F2647"/>
    <w:rsid w:val="008F4EB0"/>
    <w:rsid w:val="00900DCC"/>
    <w:rsid w:val="00915880"/>
    <w:rsid w:val="00920F14"/>
    <w:rsid w:val="00940663"/>
    <w:rsid w:val="009468CE"/>
    <w:rsid w:val="00950367"/>
    <w:rsid w:val="009954CC"/>
    <w:rsid w:val="009C6C87"/>
    <w:rsid w:val="009E085C"/>
    <w:rsid w:val="00A076EE"/>
    <w:rsid w:val="00A23286"/>
    <w:rsid w:val="00A72B42"/>
    <w:rsid w:val="00AA2955"/>
    <w:rsid w:val="00AA457B"/>
    <w:rsid w:val="00AB03B5"/>
    <w:rsid w:val="00AD1278"/>
    <w:rsid w:val="00AD3C38"/>
    <w:rsid w:val="00B06E3B"/>
    <w:rsid w:val="00B56102"/>
    <w:rsid w:val="00B732DB"/>
    <w:rsid w:val="00B7423C"/>
    <w:rsid w:val="00B9165F"/>
    <w:rsid w:val="00B937BC"/>
    <w:rsid w:val="00B9405B"/>
    <w:rsid w:val="00BE7B05"/>
    <w:rsid w:val="00C012BD"/>
    <w:rsid w:val="00C13805"/>
    <w:rsid w:val="00C33265"/>
    <w:rsid w:val="00C45D5E"/>
    <w:rsid w:val="00C500BF"/>
    <w:rsid w:val="00C83139"/>
    <w:rsid w:val="00C85D57"/>
    <w:rsid w:val="00CF0444"/>
    <w:rsid w:val="00CF531E"/>
    <w:rsid w:val="00D25D54"/>
    <w:rsid w:val="00D312C1"/>
    <w:rsid w:val="00E13A66"/>
    <w:rsid w:val="00E307A0"/>
    <w:rsid w:val="00E36F80"/>
    <w:rsid w:val="00E37087"/>
    <w:rsid w:val="00E3750B"/>
    <w:rsid w:val="00E47FC4"/>
    <w:rsid w:val="00E56ADA"/>
    <w:rsid w:val="00E930CD"/>
    <w:rsid w:val="00EB1EBC"/>
    <w:rsid w:val="00EC454F"/>
    <w:rsid w:val="00EF0594"/>
    <w:rsid w:val="00F03C9C"/>
    <w:rsid w:val="00F17204"/>
    <w:rsid w:val="00F5036D"/>
    <w:rsid w:val="00F707E8"/>
    <w:rsid w:val="00F85114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8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8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CF6D-F9BA-498F-B5BD-6128B71A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8921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Albiges</cp:lastModifiedBy>
  <cp:revision>2</cp:revision>
  <cp:lastPrinted>2014-06-17T15:17:00Z</cp:lastPrinted>
  <dcterms:created xsi:type="dcterms:W3CDTF">2014-12-22T16:53:00Z</dcterms:created>
  <dcterms:modified xsi:type="dcterms:W3CDTF">2014-12-22T16:53:00Z</dcterms:modified>
</cp:coreProperties>
</file>