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FD" w:rsidRDefault="00D71DFD" w:rsidP="00D71DFD">
      <w:pPr>
        <w:pStyle w:val="Titre"/>
        <w:jc w:val="left"/>
        <w:rPr>
          <w:rFonts w:ascii="Arial" w:hAnsi="Arial" w:cs="Arial"/>
          <w:b/>
          <w:color w:val="800000"/>
          <w:sz w:val="28"/>
          <w:szCs w:val="28"/>
        </w:rPr>
      </w:pPr>
      <w:r>
        <w:rPr>
          <w:rFonts w:ascii="Arial" w:hAnsi="Arial" w:cs="Arial"/>
          <w:b/>
          <w:color w:val="800000"/>
          <w:sz w:val="28"/>
          <w:szCs w:val="28"/>
        </w:rPr>
        <w:t xml:space="preserve">A. IDENTIFICATION </w:t>
      </w:r>
    </w:p>
    <w:p w:rsidR="00D71DFD" w:rsidRDefault="00D71DFD" w:rsidP="00D71DFD">
      <w:pPr>
        <w:ind w:right="-180"/>
        <w:rPr>
          <w:sz w:val="8"/>
        </w:rPr>
      </w:pPr>
    </w:p>
    <w:p w:rsidR="00D71DFD" w:rsidRDefault="00D71DFD" w:rsidP="00D71DFD">
      <w:pPr>
        <w:ind w:right="-180"/>
        <w:rPr>
          <w:sz w:val="8"/>
        </w:rPr>
      </w:pPr>
    </w:p>
    <w:tbl>
      <w:tblPr>
        <w:tblW w:w="0" w:type="auto"/>
        <w:tblInd w:w="70" w:type="dxa"/>
        <w:tblLayout w:type="fixed"/>
        <w:tblCellMar>
          <w:left w:w="70" w:type="dxa"/>
          <w:right w:w="70" w:type="dxa"/>
        </w:tblCellMar>
        <w:tblLook w:val="04A0" w:firstRow="1" w:lastRow="0" w:firstColumn="1" w:lastColumn="0" w:noHBand="0" w:noVBand="1"/>
      </w:tblPr>
      <w:tblGrid>
        <w:gridCol w:w="10865"/>
      </w:tblGrid>
      <w:tr w:rsidR="00D71DFD" w:rsidTr="00D71DFD">
        <w:trPr>
          <w:cantSplit/>
          <w:trHeight w:val="1423"/>
        </w:trPr>
        <w:tc>
          <w:tcPr>
            <w:tcW w:w="10865" w:type="dxa"/>
            <w:tcBorders>
              <w:top w:val="single" w:sz="8" w:space="0" w:color="000000"/>
              <w:left w:val="single" w:sz="8" w:space="0" w:color="000000"/>
              <w:bottom w:val="single" w:sz="8" w:space="0" w:color="000000"/>
              <w:right w:val="single" w:sz="8" w:space="0" w:color="000000"/>
            </w:tcBorders>
          </w:tcPr>
          <w:p w:rsidR="00D71DFD" w:rsidRDefault="00D71DFD">
            <w:pPr>
              <w:pStyle w:val="Titre"/>
              <w:snapToGrid w:val="0"/>
              <w:rPr>
                <w:b/>
                <w:sz w:val="11"/>
                <w:szCs w:val="11"/>
              </w:rPr>
            </w:pPr>
          </w:p>
          <w:p w:rsidR="00D71DFD" w:rsidRDefault="00D71DFD">
            <w:pPr>
              <w:pStyle w:val="Titre"/>
              <w:jc w:val="left"/>
              <w:rPr>
                <w:rFonts w:ascii="Arial" w:hAnsi="Arial" w:cs="Arial"/>
                <w:bCs/>
                <w:sz w:val="18"/>
                <w:szCs w:val="11"/>
              </w:rPr>
            </w:pPr>
          </w:p>
          <w:p w:rsidR="00D71DFD" w:rsidRDefault="00D71DFD">
            <w:pPr>
              <w:pStyle w:val="Titre"/>
              <w:jc w:val="left"/>
              <w:rPr>
                <w:rFonts w:ascii="Arial" w:hAnsi="Arial" w:cs="Arial"/>
                <w:b/>
                <w:sz w:val="18"/>
                <w:szCs w:val="11"/>
              </w:rPr>
            </w:pPr>
            <w:r>
              <w:rPr>
                <w:rFonts w:ascii="Arial" w:hAnsi="Arial" w:cs="Arial"/>
                <w:bCs/>
                <w:sz w:val="18"/>
                <w:szCs w:val="11"/>
              </w:rPr>
              <w:t>Civilité</w:t>
            </w:r>
            <w:r>
              <w:rPr>
                <w:rFonts w:ascii="Arial" w:hAnsi="Arial" w:cs="Arial"/>
                <w:b/>
                <w:sz w:val="18"/>
                <w:szCs w:val="11"/>
              </w:rPr>
              <w:t> </w:t>
            </w:r>
            <w:r>
              <w:rPr>
                <w:rFonts w:ascii="Arial" w:hAnsi="Arial" w:cs="Arial"/>
                <w:sz w:val="18"/>
                <w:szCs w:val="11"/>
              </w:rPr>
              <w:t>:</w:t>
            </w:r>
            <w:r>
              <w:rPr>
                <w:rFonts w:ascii="Arial" w:hAnsi="Arial" w:cs="Arial"/>
                <w:b/>
                <w:sz w:val="18"/>
                <w:szCs w:val="11"/>
              </w:rPr>
              <w:t xml:space="preserve">  </w:t>
            </w:r>
            <w:r>
              <w:rPr>
                <w:b/>
                <w:sz w:val="22"/>
                <w:szCs w:val="22"/>
              </w:rPr>
              <w:t xml:space="preserve">       </w:t>
            </w:r>
            <w:r>
              <w:rPr>
                <w:rFonts w:ascii="Arial" w:hAnsi="Arial" w:cs="Arial"/>
                <w:b/>
                <w:szCs w:val="24"/>
              </w:rPr>
              <w:t>Nom patronymique</w:t>
            </w:r>
            <w:r>
              <w:rPr>
                <w:rFonts w:ascii="Arial" w:hAnsi="Arial" w:cs="Arial"/>
                <w:bCs/>
                <w:sz w:val="18"/>
                <w:szCs w:val="11"/>
              </w:rPr>
              <w:t xml:space="preserve"> :</w:t>
            </w:r>
            <w:r>
              <w:rPr>
                <w:rFonts w:ascii="Arial" w:hAnsi="Arial" w:cs="Arial"/>
                <w:b/>
                <w:sz w:val="18"/>
                <w:szCs w:val="11"/>
              </w:rPr>
              <w:t xml:space="preserve"> </w:t>
            </w:r>
            <w:bookmarkStart w:id="0" w:name="Texte64"/>
            <w:r>
              <w:fldChar w:fldCharType="begin"/>
            </w:r>
            <w:r>
              <w:instrText>""</w:instrText>
            </w:r>
            <w:r>
              <w:fldChar w:fldCharType="separate"/>
            </w:r>
            <w:r>
              <w:t> </w:t>
            </w:r>
            <w:r>
              <w:t> </w:t>
            </w:r>
            <w:r>
              <w:fldChar w:fldCharType="end"/>
            </w:r>
            <w:r>
              <w:rPr>
                <w:rFonts w:ascii="Arial" w:hAnsi="Arial" w:cs="Arial"/>
                <w:bCs/>
                <w:szCs w:val="24"/>
              </w:rPr>
              <w:t xml:space="preserve">   HUGON                        </w:t>
            </w:r>
            <w:r>
              <w:rPr>
                <w:rFonts w:ascii="Arial" w:hAnsi="Arial" w:cs="Arial"/>
                <w:bCs/>
                <w:sz w:val="18"/>
                <w:szCs w:val="11"/>
              </w:rPr>
              <w:t>Nom usuel :</w:t>
            </w:r>
            <w:r>
              <w:rPr>
                <w:rFonts w:ascii="Arial" w:hAnsi="Arial" w:cs="Arial"/>
                <w:b/>
                <w:sz w:val="18"/>
                <w:szCs w:val="11"/>
              </w:rPr>
              <w:t xml:space="preserve">                                          </w:t>
            </w:r>
            <w:r>
              <w:rPr>
                <w:rFonts w:ascii="Arial" w:hAnsi="Arial" w:cs="Arial"/>
                <w:bCs/>
                <w:sz w:val="18"/>
                <w:szCs w:val="11"/>
              </w:rPr>
              <w:t>Prénom :</w:t>
            </w:r>
            <w:r>
              <w:rPr>
                <w:rFonts w:ascii="Arial" w:hAnsi="Arial" w:cs="Arial"/>
                <w:b/>
                <w:sz w:val="18"/>
                <w:szCs w:val="11"/>
              </w:rPr>
              <w:t xml:space="preserve"> Christine</w:t>
            </w:r>
          </w:p>
          <w:p w:rsidR="00D71DFD" w:rsidRDefault="00D71DFD">
            <w:pPr>
              <w:pStyle w:val="Titre"/>
              <w:jc w:val="left"/>
              <w:rPr>
                <w:rFonts w:ascii="Arial" w:hAnsi="Arial" w:cs="Arial"/>
                <w:bCs/>
                <w:sz w:val="18"/>
                <w:szCs w:val="11"/>
              </w:rPr>
            </w:pPr>
          </w:p>
          <w:p w:rsidR="00D71DFD" w:rsidRDefault="00D71DFD">
            <w:pPr>
              <w:pStyle w:val="Titre"/>
              <w:jc w:val="left"/>
              <w:rPr>
                <w:rFonts w:ascii="Arial" w:hAnsi="Arial" w:cs="Arial"/>
                <w:bCs/>
                <w:sz w:val="18"/>
                <w:szCs w:val="11"/>
              </w:rPr>
            </w:pPr>
            <w:r>
              <w:rPr>
                <w:rFonts w:ascii="Arial" w:hAnsi="Arial" w:cs="Arial"/>
                <w:bCs/>
                <w:sz w:val="18"/>
                <w:szCs w:val="11"/>
              </w:rPr>
              <w:t>Date de naissance </w:t>
            </w:r>
            <w:proofErr w:type="gramStart"/>
            <w:r>
              <w:rPr>
                <w:rFonts w:ascii="Arial" w:hAnsi="Arial" w:cs="Arial"/>
                <w:bCs/>
                <w:sz w:val="18"/>
                <w:szCs w:val="11"/>
              </w:rPr>
              <w:t>:</w:t>
            </w:r>
            <w:proofErr w:type="gramEnd"/>
            <w:r>
              <w:fldChar w:fldCharType="begin"/>
            </w:r>
            <w:r>
              <w:instrText>""</w:instrText>
            </w:r>
            <w:r>
              <w:fldChar w:fldCharType="separate"/>
            </w:r>
            <w:r>
              <w:t> </w:t>
            </w:r>
            <w:r>
              <w:t> </w:t>
            </w:r>
            <w:r>
              <w:fldChar w:fldCharType="end"/>
            </w:r>
            <w:r>
              <w:t>07/12/1962</w:t>
            </w:r>
            <w:r>
              <w:rPr>
                <w:rFonts w:ascii="Arial" w:hAnsi="Arial" w:cs="Arial"/>
                <w:bCs/>
                <w:sz w:val="18"/>
                <w:szCs w:val="11"/>
              </w:rPr>
              <w:t xml:space="preserve">                                    </w:t>
            </w:r>
          </w:p>
          <w:p w:rsidR="00D71DFD" w:rsidRDefault="00D71DFD">
            <w:pPr>
              <w:pStyle w:val="Titre"/>
              <w:jc w:val="left"/>
              <w:rPr>
                <w:rFonts w:ascii="Arial" w:hAnsi="Arial" w:cs="Arial"/>
                <w:bCs/>
                <w:sz w:val="18"/>
                <w:szCs w:val="11"/>
              </w:rPr>
            </w:pPr>
            <w:r>
              <w:rPr>
                <w:rFonts w:ascii="Arial" w:hAnsi="Arial" w:cs="Arial"/>
                <w:bCs/>
                <w:sz w:val="18"/>
                <w:szCs w:val="11"/>
              </w:rPr>
              <w:t>Grade : Professeur, 1</w:t>
            </w:r>
            <w:r>
              <w:rPr>
                <w:rFonts w:ascii="Arial" w:hAnsi="Arial" w:cs="Arial"/>
                <w:bCs/>
                <w:sz w:val="18"/>
                <w:szCs w:val="11"/>
                <w:vertAlign w:val="superscript"/>
              </w:rPr>
              <w:t>re</w:t>
            </w:r>
            <w:r>
              <w:rPr>
                <w:rFonts w:ascii="Arial" w:hAnsi="Arial" w:cs="Arial"/>
                <w:bCs/>
                <w:sz w:val="18"/>
                <w:szCs w:val="11"/>
              </w:rPr>
              <w:t xml:space="preserve"> classe</w:t>
            </w:r>
          </w:p>
          <w:p w:rsidR="00D71DFD" w:rsidRDefault="00D71DFD">
            <w:pPr>
              <w:pStyle w:val="Titre"/>
              <w:jc w:val="left"/>
              <w:rPr>
                <w:rFonts w:ascii="Arial" w:hAnsi="Arial" w:cs="Arial"/>
                <w:bCs/>
                <w:sz w:val="18"/>
                <w:szCs w:val="11"/>
              </w:rPr>
            </w:pPr>
            <w:r>
              <w:rPr>
                <w:rFonts w:ascii="Arial" w:hAnsi="Arial" w:cs="Arial"/>
                <w:bCs/>
                <w:sz w:val="18"/>
                <w:szCs w:val="11"/>
              </w:rPr>
              <w:t>Etablissement d’affectation : Université de Montpellier I</w:t>
            </w:r>
          </w:p>
          <w:p w:rsidR="00D71DFD" w:rsidRDefault="00D71DFD">
            <w:pPr>
              <w:pStyle w:val="Titre"/>
              <w:jc w:val="left"/>
              <w:rPr>
                <w:rFonts w:ascii="Arial" w:hAnsi="Arial" w:cs="Arial"/>
                <w:b/>
                <w:szCs w:val="24"/>
              </w:rPr>
            </w:pPr>
            <w:r>
              <w:rPr>
                <w:rFonts w:ascii="Arial" w:hAnsi="Arial" w:cs="Arial"/>
                <w:b/>
                <w:szCs w:val="24"/>
              </w:rPr>
              <w:t>Section de CNU : 01</w:t>
            </w:r>
            <w:r>
              <w:fldChar w:fldCharType="begin"/>
            </w:r>
            <w:r>
              <w:instrText>""</w:instrText>
            </w:r>
            <w:r>
              <w:fldChar w:fldCharType="separate"/>
            </w:r>
            <w:r>
              <w:t> </w:t>
            </w:r>
            <w:r>
              <w:t> </w:t>
            </w:r>
            <w:r>
              <w:fldChar w:fldCharType="end"/>
            </w:r>
            <w:r>
              <w:rPr>
                <w:rFonts w:ascii="Arial" w:hAnsi="Arial" w:cs="Arial"/>
                <w:b/>
                <w:szCs w:val="24"/>
              </w:rPr>
              <w:t xml:space="preserve">  </w:t>
            </w:r>
          </w:p>
          <w:p w:rsidR="00D71DFD" w:rsidRDefault="00D71DFD">
            <w:pPr>
              <w:pStyle w:val="Titre"/>
              <w:jc w:val="left"/>
              <w:rPr>
                <w:rFonts w:ascii="Arial" w:hAnsi="Arial" w:cs="Arial"/>
                <w:bCs/>
                <w:sz w:val="18"/>
                <w:szCs w:val="11"/>
              </w:rPr>
            </w:pPr>
            <w:r>
              <w:rPr>
                <w:rFonts w:ascii="Arial" w:hAnsi="Arial" w:cs="Arial"/>
                <w:bCs/>
                <w:sz w:val="18"/>
                <w:szCs w:val="11"/>
              </w:rPr>
              <w:t xml:space="preserve">Unité de recherche d’appartenance :  </w:t>
            </w:r>
            <w:r>
              <w:fldChar w:fldCharType="begin"/>
            </w:r>
            <w:r>
              <w:instrText>""</w:instrText>
            </w:r>
            <w:r>
              <w:fldChar w:fldCharType="separate"/>
            </w:r>
            <w:r>
              <w:t> </w:t>
            </w:r>
            <w:r>
              <w:t>Laboratoire de droit privé</w:t>
            </w:r>
            <w:r>
              <w:t> </w:t>
            </w:r>
            <w:r>
              <w:fldChar w:fldCharType="end"/>
            </w:r>
            <w:bookmarkEnd w:id="0"/>
            <w:r>
              <w:rPr>
                <w:rFonts w:ascii="Arial" w:hAnsi="Arial" w:cs="Arial"/>
                <w:bCs/>
                <w:sz w:val="18"/>
                <w:szCs w:val="11"/>
              </w:rPr>
              <w:t xml:space="preserve">     </w:t>
            </w:r>
          </w:p>
          <w:p w:rsidR="00D71DFD" w:rsidRDefault="00D71DFD">
            <w:pPr>
              <w:pStyle w:val="Titre"/>
              <w:jc w:val="left"/>
              <w:rPr>
                <w:bCs/>
                <w:color w:val="0000FF"/>
                <w:sz w:val="20"/>
                <w:szCs w:val="11"/>
              </w:rPr>
            </w:pPr>
          </w:p>
        </w:tc>
      </w:tr>
    </w:tbl>
    <w:p w:rsidR="00D71DFD" w:rsidRDefault="00D71DFD" w:rsidP="00D71DFD">
      <w:pPr>
        <w:pStyle w:val="En-tte"/>
        <w:tabs>
          <w:tab w:val="left" w:pos="708"/>
        </w:tabs>
      </w:pPr>
    </w:p>
    <w:p w:rsidR="00D71DFD" w:rsidRDefault="00D71DFD" w:rsidP="00D71DFD">
      <w:pPr>
        <w:ind w:right="-180"/>
      </w:pPr>
    </w:p>
    <w:p w:rsidR="00D71DFD" w:rsidRDefault="00D71DFD" w:rsidP="00D71DFD">
      <w:pPr>
        <w:pStyle w:val="Titre"/>
        <w:jc w:val="left"/>
        <w:rPr>
          <w:rFonts w:ascii="Arial" w:hAnsi="Arial" w:cs="Arial"/>
          <w:b/>
          <w:color w:val="800000"/>
          <w:sz w:val="28"/>
          <w:szCs w:val="28"/>
        </w:rPr>
      </w:pPr>
      <w:r>
        <w:rPr>
          <w:rFonts w:ascii="Arial" w:hAnsi="Arial" w:cs="Arial"/>
          <w:b/>
          <w:color w:val="800000"/>
          <w:sz w:val="28"/>
          <w:szCs w:val="28"/>
        </w:rPr>
        <w:t>B. ACTIVITE POUR LA PERIODE DE REFERENCE (2008-2011)</w:t>
      </w:r>
    </w:p>
    <w:p w:rsidR="00D71DFD" w:rsidRDefault="00D71DFD" w:rsidP="00D71DFD">
      <w:pPr>
        <w:pStyle w:val="Textedebulles"/>
        <w:rPr>
          <w:rFonts w:ascii="Times New Roman" w:hAnsi="Times New Roman" w:cs="Times New Roman"/>
          <w:szCs w:val="24"/>
        </w:rPr>
      </w:pPr>
    </w:p>
    <w:p w:rsidR="00D71DFD" w:rsidRDefault="00D71DFD" w:rsidP="00D71DFD">
      <w:pPr>
        <w:pStyle w:val="Textedebulles"/>
        <w:rPr>
          <w:rFonts w:ascii="Times New Roman" w:hAnsi="Times New Roman" w:cs="Times New Roman"/>
          <w:szCs w:val="24"/>
        </w:rPr>
      </w:pPr>
    </w:p>
    <w:p w:rsidR="00D71DFD" w:rsidRDefault="00D71DFD" w:rsidP="00D71DFD">
      <w:pPr>
        <w:pStyle w:val="En-tte"/>
        <w:pBdr>
          <w:top w:val="single" w:sz="8" w:space="1" w:color="000000"/>
          <w:left w:val="single" w:sz="8" w:space="4" w:color="000000"/>
          <w:bottom w:val="single" w:sz="8" w:space="1" w:color="000000"/>
          <w:right w:val="single" w:sz="8" w:space="6" w:color="000000"/>
        </w:pBdr>
        <w:shd w:val="clear" w:color="auto" w:fill="CCFFFF"/>
        <w:tabs>
          <w:tab w:val="left" w:pos="708"/>
        </w:tabs>
        <w:ind w:right="-360"/>
        <w:rPr>
          <w:rFonts w:ascii="Arial" w:hAnsi="Arial" w:cs="Arial"/>
          <w:b/>
          <w:bCs/>
          <w:color w:val="000000"/>
          <w:sz w:val="28"/>
          <w:szCs w:val="28"/>
        </w:rPr>
      </w:pPr>
      <w:r>
        <w:rPr>
          <w:rFonts w:ascii="Arial" w:hAnsi="Arial" w:cs="Arial"/>
          <w:b/>
          <w:color w:val="000000"/>
          <w:sz w:val="28"/>
          <w:szCs w:val="28"/>
        </w:rPr>
        <w:t>1. Publications et production scientifique</w:t>
      </w:r>
      <w:r>
        <w:rPr>
          <w:rFonts w:ascii="Arial" w:hAnsi="Arial" w:cs="Arial"/>
          <w:bCs/>
          <w:color w:val="000000"/>
          <w:sz w:val="28"/>
          <w:szCs w:val="28"/>
        </w:rPr>
        <w:t> </w:t>
      </w:r>
      <w:r>
        <w:rPr>
          <w:rFonts w:ascii="Arial" w:hAnsi="Arial" w:cs="Arial"/>
          <w:b/>
          <w:i/>
          <w:iCs/>
          <w:color w:val="000000"/>
          <w:sz w:val="28"/>
          <w:szCs w:val="28"/>
        </w:rPr>
        <w:t xml:space="preserve"> </w:t>
      </w:r>
      <w:r>
        <w:rPr>
          <w:rFonts w:ascii="Arial" w:hAnsi="Arial" w:cs="Arial"/>
          <w:b/>
          <w:bCs/>
          <w:color w:val="000000"/>
          <w:sz w:val="28"/>
          <w:szCs w:val="28"/>
        </w:rPr>
        <w:t xml:space="preserve"> </w:t>
      </w:r>
    </w:p>
    <w:p w:rsidR="00D71DFD" w:rsidRDefault="00D71DFD" w:rsidP="00D71DFD">
      <w:pPr>
        <w:pStyle w:val="En-tte"/>
        <w:tabs>
          <w:tab w:val="left" w:pos="708"/>
        </w:tabs>
      </w:pPr>
    </w:p>
    <w:p w:rsidR="00D71DFD" w:rsidRDefault="00D71DFD" w:rsidP="00D71DFD">
      <w:pPr>
        <w:rPr>
          <w:b/>
          <w:bCs/>
          <w:i/>
          <w:iCs/>
        </w:rPr>
      </w:pPr>
      <w:r>
        <w:rPr>
          <w:b/>
          <w:bCs/>
          <w:i/>
          <w:iCs/>
        </w:rPr>
        <w:t xml:space="preserve">Notes d’arrêts : </w:t>
      </w:r>
    </w:p>
    <w:p w:rsidR="00D71DFD" w:rsidRDefault="00D71DFD" w:rsidP="00D71DFD"/>
    <w:p w:rsidR="00D71DFD" w:rsidRDefault="00D71DFD" w:rsidP="00D71DFD">
      <w:pPr>
        <w:numPr>
          <w:ilvl w:val="0"/>
          <w:numId w:val="1"/>
        </w:numPr>
      </w:pPr>
      <w:proofErr w:type="spellStart"/>
      <w:r>
        <w:t>Cass</w:t>
      </w:r>
      <w:proofErr w:type="spellEnd"/>
      <w:r>
        <w:t>. 1</w:t>
      </w:r>
      <w:r>
        <w:rPr>
          <w:vertAlign w:val="superscript"/>
        </w:rPr>
        <w:t xml:space="preserve">re  </w:t>
      </w:r>
      <w:proofErr w:type="gramStart"/>
      <w:r>
        <w:t>civ.,</w:t>
      </w:r>
      <w:proofErr w:type="gramEnd"/>
      <w:r>
        <w:t xml:space="preserve"> 14 nov. 2012, n°11-24320 et n°11-24576 ; 31 oct. 2012, n°11-12894 et 26 sept. 2012, n°11-12890, Revue de droit animalier, 2012, n°2, p.43.</w:t>
      </w:r>
    </w:p>
    <w:p w:rsidR="00D71DFD" w:rsidRDefault="00D71DFD" w:rsidP="00D71DFD">
      <w:pPr>
        <w:numPr>
          <w:ilvl w:val="0"/>
          <w:numId w:val="1"/>
        </w:numPr>
      </w:pPr>
      <w:proofErr w:type="spellStart"/>
      <w:r>
        <w:t>Cass</w:t>
      </w:r>
      <w:proofErr w:type="spellEnd"/>
      <w:r>
        <w:t>. 1</w:t>
      </w:r>
      <w:r>
        <w:rPr>
          <w:vertAlign w:val="superscript"/>
        </w:rPr>
        <w:t>re</w:t>
      </w:r>
      <w:r>
        <w:t xml:space="preserve"> </w:t>
      </w:r>
      <w:proofErr w:type="gramStart"/>
      <w:r>
        <w:t>civ.,</w:t>
      </w:r>
      <w:proofErr w:type="gramEnd"/>
      <w:r>
        <w:t xml:space="preserve"> 17 oct. 2012, n11-10577, Revue de droit animalier, 2012, n°2, p.45.</w:t>
      </w:r>
    </w:p>
    <w:p w:rsidR="00D71DFD" w:rsidRDefault="00D71DFD" w:rsidP="00D71DFD">
      <w:pPr>
        <w:numPr>
          <w:ilvl w:val="0"/>
          <w:numId w:val="1"/>
        </w:numPr>
      </w:pPr>
      <w:proofErr w:type="spellStart"/>
      <w:r>
        <w:t>Cass</w:t>
      </w:r>
      <w:proofErr w:type="spellEnd"/>
      <w:r>
        <w:t>. Com. 2 oct.2012, n°11-22387, La caducité n’est pas encourue lorsque la dénonciation de la saisie-attribution a été faite au débiteur dans les huit jours précédant sa liquidation, Bull. Joly, Entreprises en difficulté, 2012, n°6, p.377.</w:t>
      </w:r>
    </w:p>
    <w:p w:rsidR="00D71DFD" w:rsidRDefault="00D71DFD" w:rsidP="00D71DFD">
      <w:pPr>
        <w:numPr>
          <w:ilvl w:val="0"/>
          <w:numId w:val="1"/>
        </w:numPr>
      </w:pPr>
      <w:proofErr w:type="spellStart"/>
      <w:r>
        <w:t>Cass</w:t>
      </w:r>
      <w:proofErr w:type="spellEnd"/>
      <w:r>
        <w:t>. 2</w:t>
      </w:r>
      <w:r>
        <w:rPr>
          <w:vertAlign w:val="superscript"/>
        </w:rPr>
        <w:t xml:space="preserve">ème </w:t>
      </w:r>
      <w:r>
        <w:t xml:space="preserve"> </w:t>
      </w:r>
      <w:proofErr w:type="gramStart"/>
      <w:r>
        <w:t>civ.,</w:t>
      </w:r>
      <w:proofErr w:type="gramEnd"/>
      <w:r>
        <w:t xml:space="preserve"> 7 juin 2012, Procurations et acte notarié, sept espèces, Gaz. Pal. 2012, n°179-180, p. 13</w:t>
      </w:r>
    </w:p>
    <w:p w:rsidR="00D71DFD" w:rsidRDefault="00D71DFD" w:rsidP="00D71DFD">
      <w:pPr>
        <w:numPr>
          <w:ilvl w:val="0"/>
          <w:numId w:val="1"/>
        </w:numPr>
      </w:pPr>
      <w:r>
        <w:t xml:space="preserve">Cons. </w:t>
      </w:r>
      <w:proofErr w:type="spellStart"/>
      <w:r>
        <w:t>Const</w:t>
      </w:r>
      <w:proofErr w:type="spellEnd"/>
      <w:r>
        <w:t>. 27 janvier 2012, n°2011-213, Suspension automatique des poursuites dont bénéficient les rapatriés installés dans une profession non salariée : un point final en ligne de mire ! Bull. Joly, Entreprises en difficulté, 2012, n°4, p.217.</w:t>
      </w:r>
    </w:p>
    <w:p w:rsidR="00D71DFD" w:rsidRDefault="00D71DFD" w:rsidP="00D71DFD">
      <w:pPr>
        <w:numPr>
          <w:ilvl w:val="0"/>
          <w:numId w:val="1"/>
        </w:numPr>
      </w:pPr>
      <w:proofErr w:type="spellStart"/>
      <w:r>
        <w:t>Cass</w:t>
      </w:r>
      <w:proofErr w:type="spellEnd"/>
      <w:r>
        <w:t>., Com., 27 mars 2012, n°11-18585, L’effet attributif de la saisie-vente ! Gaz. Pal., 2012, n°312-313, p. 19.</w:t>
      </w:r>
    </w:p>
    <w:p w:rsidR="00D71DFD" w:rsidRDefault="00D71DFD" w:rsidP="00D71DFD">
      <w:pPr>
        <w:numPr>
          <w:ilvl w:val="0"/>
          <w:numId w:val="1"/>
        </w:numPr>
      </w:pPr>
      <w:proofErr w:type="spellStart"/>
      <w:r>
        <w:t>Cass</w:t>
      </w:r>
      <w:proofErr w:type="spellEnd"/>
      <w:r>
        <w:t>. 2</w:t>
      </w:r>
      <w:r>
        <w:rPr>
          <w:vertAlign w:val="superscript"/>
        </w:rPr>
        <w:t>ème</w:t>
      </w:r>
      <w:r>
        <w:t xml:space="preserve"> </w:t>
      </w:r>
      <w:proofErr w:type="gramStart"/>
      <w:r>
        <w:t>civ.,</w:t>
      </w:r>
      <w:proofErr w:type="gramEnd"/>
      <w:r>
        <w:t xml:space="preserve"> 8 déc. 2011, La caducité n’est pas encourue lorsque la dénonciation de la saisie attribution a été faite au débiteur encore in bonis, Bull. Joly, Entreprises en difficulté, 2012, n°2, p. 90</w:t>
      </w:r>
    </w:p>
    <w:p w:rsidR="00D71DFD" w:rsidRDefault="00D71DFD" w:rsidP="00D71DFD">
      <w:pPr>
        <w:numPr>
          <w:ilvl w:val="0"/>
          <w:numId w:val="1"/>
        </w:numPr>
      </w:pPr>
      <w:r>
        <w:t xml:space="preserve"> </w:t>
      </w:r>
      <w:proofErr w:type="spellStart"/>
      <w:r>
        <w:t>Cass</w:t>
      </w:r>
      <w:proofErr w:type="spellEnd"/>
      <w:r>
        <w:t>. Com. 4 oct. 2011, Contentieux du divorce et droit du brevet, contribution à la chronique de droit civil des affaires du laboratoire de droit privé, Gaz. Palais, 2012, n° 1-5, p.13</w:t>
      </w:r>
    </w:p>
    <w:p w:rsidR="00D71DFD" w:rsidRDefault="00D71DFD" w:rsidP="00D71DFD">
      <w:pPr>
        <w:numPr>
          <w:ilvl w:val="0"/>
          <w:numId w:val="1"/>
        </w:numPr>
      </w:pPr>
      <w:proofErr w:type="spellStart"/>
      <w:r>
        <w:t>Cass</w:t>
      </w:r>
      <w:proofErr w:type="spellEnd"/>
      <w:r>
        <w:t>. 3</w:t>
      </w:r>
      <w:r>
        <w:rPr>
          <w:vertAlign w:val="superscript"/>
        </w:rPr>
        <w:t>ème</w:t>
      </w:r>
      <w:r>
        <w:t xml:space="preserve"> </w:t>
      </w:r>
      <w:proofErr w:type="gramStart"/>
      <w:r>
        <w:t>civ.,</w:t>
      </w:r>
      <w:proofErr w:type="gramEnd"/>
      <w:r>
        <w:t xml:space="preserve"> 31 mai 2011, n°10-17156 ; 25 oct. 2011, n°10-25870 ; 5 janv. 2012, n°10-947, Quelques aspects du contentieux de la requalification en bail rural des baux portant sur des installations équestres, Revue de droit animalier, 2011, n°2, p. 57</w:t>
      </w:r>
    </w:p>
    <w:p w:rsidR="00D71DFD" w:rsidRDefault="00D71DFD" w:rsidP="00D71DFD">
      <w:pPr>
        <w:numPr>
          <w:ilvl w:val="0"/>
          <w:numId w:val="1"/>
        </w:numPr>
      </w:pPr>
      <w:r>
        <w:t xml:space="preserve">CA Bastia, 16 avril 2011, </w:t>
      </w:r>
      <w:proofErr w:type="spellStart"/>
      <w:r>
        <w:t>n°RG</w:t>
      </w:r>
      <w:proofErr w:type="spellEnd"/>
      <w:r>
        <w:t xml:space="preserve"> 10-00051, Convention tacite et achat d’un équidé en vue de randonnées, Revue de droit animalier, 2011, n°2, p.63</w:t>
      </w:r>
    </w:p>
    <w:p w:rsidR="00D71DFD" w:rsidRDefault="00D71DFD" w:rsidP="00D71DFD">
      <w:pPr>
        <w:numPr>
          <w:ilvl w:val="0"/>
          <w:numId w:val="1"/>
        </w:numPr>
      </w:pPr>
      <w:proofErr w:type="spellStart"/>
      <w:r>
        <w:t>Cass</w:t>
      </w:r>
      <w:proofErr w:type="spellEnd"/>
      <w:r>
        <w:t>. Com. QPC, 11 mars 2011, Question prioritaire de constitutionnalité, la Cour de cassation filtre efficacement, Bull. Joly, Entreprises en difficulté, 2011, n°5, p.319.</w:t>
      </w:r>
    </w:p>
    <w:p w:rsidR="00D71DFD" w:rsidRDefault="00D71DFD" w:rsidP="00D71DFD">
      <w:pPr>
        <w:numPr>
          <w:ilvl w:val="0"/>
          <w:numId w:val="1"/>
        </w:numPr>
      </w:pPr>
      <w:r>
        <w:t>CA Caen, 4 nov. 2010, La cour d’appel de Caen entre en résistance et persiste à utiliser la clôture pour insuffisance d’actif comme un accélérateur de procédure, Bull. Joly, Entreprises en difficulté, 2011, n°2, p. 116</w:t>
      </w:r>
    </w:p>
    <w:p w:rsidR="00D71DFD" w:rsidRDefault="00D71DFD" w:rsidP="00D71DFD">
      <w:pPr>
        <w:numPr>
          <w:ilvl w:val="0"/>
          <w:numId w:val="1"/>
        </w:numPr>
      </w:pPr>
      <w:proofErr w:type="spellStart"/>
      <w:r>
        <w:lastRenderedPageBreak/>
        <w:t>Cass</w:t>
      </w:r>
      <w:proofErr w:type="spellEnd"/>
      <w:r>
        <w:t>. com., 26 janvier 2010, Le rejet de la demande d’ouverture d’une procédure collective peut anéantir son effet interruptif de prescription, Bull. Joly, Entreprises en difficulté, 2011, n°1, p. 41</w:t>
      </w:r>
    </w:p>
    <w:p w:rsidR="00D71DFD" w:rsidRDefault="00D71DFD" w:rsidP="00D71DFD">
      <w:pPr>
        <w:numPr>
          <w:ilvl w:val="0"/>
          <w:numId w:val="1"/>
        </w:numPr>
      </w:pPr>
      <w:proofErr w:type="spellStart"/>
      <w:r>
        <w:t>Cass</w:t>
      </w:r>
      <w:proofErr w:type="spellEnd"/>
      <w:r>
        <w:t>. 2</w:t>
      </w:r>
      <w:r>
        <w:rPr>
          <w:vertAlign w:val="superscript"/>
        </w:rPr>
        <w:t>ème</w:t>
      </w:r>
      <w:r>
        <w:t xml:space="preserve"> civ. 3 juin 2010, n°09-13526, Revue de droit animalier, 2011, n°1, p.66</w:t>
      </w:r>
    </w:p>
    <w:p w:rsidR="00D71DFD" w:rsidRDefault="00D71DFD" w:rsidP="00D71DFD">
      <w:pPr>
        <w:numPr>
          <w:ilvl w:val="0"/>
          <w:numId w:val="1"/>
        </w:numPr>
      </w:pPr>
      <w:proofErr w:type="spellStart"/>
      <w:r>
        <w:t>Cass</w:t>
      </w:r>
      <w:proofErr w:type="spellEnd"/>
      <w:r>
        <w:t>. 1</w:t>
      </w:r>
      <w:r>
        <w:rPr>
          <w:vertAlign w:val="superscript"/>
        </w:rPr>
        <w:t>re</w:t>
      </w:r>
      <w:r>
        <w:t xml:space="preserve"> civ. 30 sept. 2010, n°09-69530, Revue de droit animalier, 2011, n°1, p.62</w:t>
      </w:r>
    </w:p>
    <w:p w:rsidR="00D71DFD" w:rsidRDefault="00D71DFD" w:rsidP="00D71DFD">
      <w:pPr>
        <w:numPr>
          <w:ilvl w:val="0"/>
          <w:numId w:val="1"/>
        </w:numPr>
      </w:pPr>
      <w:proofErr w:type="spellStart"/>
      <w:r>
        <w:t>Cass</w:t>
      </w:r>
      <w:proofErr w:type="spellEnd"/>
      <w:r>
        <w:t>. civ. 1, 8 oct. 2009, La force probante de la carte de propriétaire, Revue de droit animalier, 2010, n°1, p. 59</w:t>
      </w:r>
    </w:p>
    <w:p w:rsidR="00D71DFD" w:rsidRDefault="00D71DFD" w:rsidP="00D71DFD">
      <w:pPr>
        <w:numPr>
          <w:ilvl w:val="0"/>
          <w:numId w:val="1"/>
        </w:numPr>
      </w:pPr>
      <w:proofErr w:type="spellStart"/>
      <w:r>
        <w:t>Cass</w:t>
      </w:r>
      <w:proofErr w:type="spellEnd"/>
      <w:r>
        <w:t>. 1</w:t>
      </w:r>
      <w:r>
        <w:rPr>
          <w:vertAlign w:val="superscript"/>
        </w:rPr>
        <w:t>re</w:t>
      </w:r>
      <w:r>
        <w:t xml:space="preserve"> civ. 6 mai 2010, La saisie-contrefaçon tiraillée entre ses juges, JCP-E 2010</w:t>
      </w:r>
    </w:p>
    <w:p w:rsidR="00D71DFD" w:rsidRDefault="00D71DFD" w:rsidP="00D71DFD">
      <w:pPr>
        <w:numPr>
          <w:ilvl w:val="0"/>
          <w:numId w:val="1"/>
        </w:numPr>
      </w:pPr>
      <w:proofErr w:type="spellStart"/>
      <w:r>
        <w:t>Cass</w:t>
      </w:r>
      <w:proofErr w:type="spellEnd"/>
      <w:r>
        <w:t xml:space="preserve">. civ. 1, 19 nov. 2009, Les dérogations tacites à l’application de la garantie légale du code rural en matière de vente d’équidés, Revue de droit animalier, 2010, n°1, p.63 </w:t>
      </w:r>
    </w:p>
    <w:p w:rsidR="00D71DFD" w:rsidRDefault="00D71DFD" w:rsidP="00D71DFD">
      <w:pPr>
        <w:numPr>
          <w:ilvl w:val="0"/>
          <w:numId w:val="1"/>
        </w:numPr>
      </w:pPr>
      <w:r>
        <w:t xml:space="preserve"> C-EDH, </w:t>
      </w:r>
      <w:proofErr w:type="spellStart"/>
      <w:r>
        <w:t>Thaleia</w:t>
      </w:r>
      <w:proofErr w:type="spellEnd"/>
      <w:r>
        <w:t xml:space="preserve"> </w:t>
      </w:r>
      <w:proofErr w:type="spellStart"/>
      <w:r>
        <w:t>Karydi</w:t>
      </w:r>
      <w:proofErr w:type="spellEnd"/>
      <w:r>
        <w:t xml:space="preserve"> </w:t>
      </w:r>
      <w:proofErr w:type="spellStart"/>
      <w:r>
        <w:t>Axte</w:t>
      </w:r>
      <w:proofErr w:type="spellEnd"/>
      <w:r>
        <w:t xml:space="preserve"> c. Grèce, 5 nov. 2008, Le souffle de la Convention européenne sur la saisie immobilière : zéphyr ou tramontane ? Dalloz 2010, p.860</w:t>
      </w:r>
    </w:p>
    <w:p w:rsidR="00D71DFD" w:rsidRDefault="00D71DFD" w:rsidP="00D71DFD">
      <w:pPr>
        <w:numPr>
          <w:ilvl w:val="0"/>
          <w:numId w:val="1"/>
        </w:numPr>
      </w:pPr>
      <w:proofErr w:type="spellStart"/>
      <w:r>
        <w:t>Cass</w:t>
      </w:r>
      <w:proofErr w:type="spellEnd"/>
      <w:r>
        <w:t>. civ. 13 mai 2009 et 24 juin 2009, A propos du caractère agricole du gardiennage d’équidés, Revue semestrielle de droit animalier, n°2, 2009, http://www.unilim.fr/omij/telechargements/contenus/59_RSDA_2-2009.pdf</w:t>
      </w:r>
    </w:p>
    <w:p w:rsidR="00D71DFD" w:rsidRDefault="00D71DFD" w:rsidP="00D71DFD">
      <w:pPr>
        <w:numPr>
          <w:ilvl w:val="0"/>
          <w:numId w:val="1"/>
        </w:numPr>
      </w:pPr>
      <w:r>
        <w:t>CA Bourges, 10 juillet 2008, L’application du Code de la consommation aux ventes d’équidés, Revue semestrielle de droit animalier, n°1, 2009, http://www.unilim.fr/omij/rubriques/index.php?rubrique=42</w:t>
      </w:r>
    </w:p>
    <w:p w:rsidR="00D71DFD" w:rsidRDefault="00D71DFD" w:rsidP="00D71DFD">
      <w:pPr>
        <w:numPr>
          <w:ilvl w:val="0"/>
          <w:numId w:val="1"/>
        </w:numPr>
      </w:pPr>
      <w:proofErr w:type="spellStart"/>
      <w:r>
        <w:t>Cass</w:t>
      </w:r>
      <w:proofErr w:type="spellEnd"/>
      <w:r>
        <w:t>. civ. 1</w:t>
      </w:r>
      <w:r>
        <w:rPr>
          <w:vertAlign w:val="superscript"/>
        </w:rPr>
        <w:t>re</w:t>
      </w:r>
      <w:r>
        <w:t xml:space="preserve">, 2 avril 2009,  </w:t>
      </w:r>
      <w:r>
        <w:rPr>
          <w:i/>
          <w:iCs/>
        </w:rPr>
        <w:t>Revue Droit et procédures</w:t>
      </w:r>
      <w:r>
        <w:t xml:space="preserve"> 2009, n°4, J. 43, p. 229</w:t>
      </w:r>
    </w:p>
    <w:p w:rsidR="00D71DFD" w:rsidRDefault="00D71DFD" w:rsidP="00D71DFD">
      <w:pPr>
        <w:numPr>
          <w:ilvl w:val="0"/>
          <w:numId w:val="1"/>
        </w:numPr>
      </w:pPr>
      <w:proofErr w:type="spellStart"/>
      <w:r>
        <w:t>Cass</w:t>
      </w:r>
      <w:proofErr w:type="spellEnd"/>
      <w:r>
        <w:t xml:space="preserve">. com., 8 juillet 2008, </w:t>
      </w:r>
      <w:r>
        <w:rPr>
          <w:i/>
          <w:iCs/>
        </w:rPr>
        <w:t>Revue Droit et procédures</w:t>
      </w:r>
      <w:r>
        <w:t>, 2009, n°1, J. 07, p. 37.</w:t>
      </w:r>
    </w:p>
    <w:p w:rsidR="00D71DFD" w:rsidRDefault="00D71DFD" w:rsidP="00D71DFD">
      <w:pPr>
        <w:numPr>
          <w:ilvl w:val="0"/>
          <w:numId w:val="1"/>
        </w:numPr>
      </w:pPr>
      <w:proofErr w:type="spellStart"/>
      <w:r>
        <w:t>Cass</w:t>
      </w:r>
      <w:proofErr w:type="spellEnd"/>
      <w:r>
        <w:t xml:space="preserve">. com., 26 mars 2008, </w:t>
      </w:r>
      <w:r>
        <w:rPr>
          <w:i/>
          <w:iCs/>
        </w:rPr>
        <w:t>Revue Droit et procédures</w:t>
      </w:r>
      <w:r>
        <w:t>, 2008, n°5, J. 48, p. 275.</w:t>
      </w:r>
    </w:p>
    <w:p w:rsidR="00D71DFD" w:rsidRDefault="00D71DFD" w:rsidP="00D71DFD">
      <w:pPr>
        <w:numPr>
          <w:ilvl w:val="0"/>
          <w:numId w:val="1"/>
        </w:numPr>
      </w:pPr>
      <w:proofErr w:type="spellStart"/>
      <w:r>
        <w:t>Cass</w:t>
      </w:r>
      <w:proofErr w:type="spellEnd"/>
      <w:r>
        <w:t>. civ. 1</w:t>
      </w:r>
      <w:r>
        <w:rPr>
          <w:vertAlign w:val="superscript"/>
        </w:rPr>
        <w:t>re</w:t>
      </w:r>
      <w:r>
        <w:t xml:space="preserve">, 19 juin 2008, </w:t>
      </w:r>
      <w:r>
        <w:rPr>
          <w:i/>
          <w:iCs/>
        </w:rPr>
        <w:t>JCP-G</w:t>
      </w:r>
      <w:r>
        <w:t xml:space="preserve"> 2008, II, 10171</w:t>
      </w:r>
    </w:p>
    <w:p w:rsidR="00D71DFD" w:rsidRDefault="00D71DFD" w:rsidP="00D71DFD">
      <w:pPr>
        <w:numPr>
          <w:ilvl w:val="0"/>
          <w:numId w:val="1"/>
        </w:numPr>
      </w:pPr>
      <w:proofErr w:type="spellStart"/>
      <w:r>
        <w:t>Cass</w:t>
      </w:r>
      <w:proofErr w:type="spellEnd"/>
      <w:r>
        <w:t>. civ. 1</w:t>
      </w:r>
      <w:r>
        <w:rPr>
          <w:vertAlign w:val="superscript"/>
        </w:rPr>
        <w:t>re</w:t>
      </w:r>
      <w:r>
        <w:t xml:space="preserve">, 8 avril 2008, Areva c. Greenpeace, suite et fin !, </w:t>
      </w:r>
      <w:r>
        <w:rPr>
          <w:i/>
          <w:iCs/>
        </w:rPr>
        <w:t>JCP-G</w:t>
      </w:r>
      <w:r>
        <w:t xml:space="preserve"> 2008, II, 10106 </w:t>
      </w:r>
    </w:p>
    <w:p w:rsidR="00D71DFD" w:rsidRDefault="00D71DFD" w:rsidP="00D71DFD">
      <w:pPr>
        <w:numPr>
          <w:ilvl w:val="0"/>
          <w:numId w:val="1"/>
        </w:numPr>
      </w:pPr>
      <w:proofErr w:type="spellStart"/>
      <w:r>
        <w:t>Cass</w:t>
      </w:r>
      <w:proofErr w:type="spellEnd"/>
      <w:r>
        <w:t>. com. 29 janv. 2008,</w:t>
      </w:r>
      <w:r>
        <w:rPr>
          <w:i/>
          <w:iCs/>
        </w:rPr>
        <w:t xml:space="preserve"> Revue Droit et procédures</w:t>
      </w:r>
      <w:r>
        <w:t>, 2008, n°3, J. 31, p. 162 ;</w:t>
      </w:r>
    </w:p>
    <w:p w:rsidR="00D71DFD" w:rsidRDefault="00D71DFD" w:rsidP="00D71DFD">
      <w:pPr>
        <w:pStyle w:val="En-tte"/>
        <w:tabs>
          <w:tab w:val="left" w:pos="708"/>
        </w:tabs>
      </w:pPr>
    </w:p>
    <w:p w:rsidR="00D71DFD" w:rsidRDefault="00D71DFD" w:rsidP="00D71DFD">
      <w:pPr>
        <w:rPr>
          <w:b/>
          <w:bCs/>
          <w:i/>
          <w:iCs/>
        </w:rPr>
      </w:pPr>
      <w:r>
        <w:rPr>
          <w:b/>
          <w:bCs/>
          <w:i/>
          <w:iCs/>
        </w:rPr>
        <w:t>Chroniques et contributions publiées</w:t>
      </w:r>
    </w:p>
    <w:p w:rsidR="00D71DFD" w:rsidRDefault="00D71DFD" w:rsidP="00D71DFD"/>
    <w:p w:rsidR="00D71DFD" w:rsidRDefault="00D71DFD" w:rsidP="00D71DFD">
      <w:pPr>
        <w:numPr>
          <w:ilvl w:val="0"/>
          <w:numId w:val="2"/>
        </w:numPr>
        <w:rPr>
          <w:u w:val="single"/>
        </w:rPr>
      </w:pPr>
      <w:r>
        <w:rPr>
          <w:b/>
          <w:bCs/>
        </w:rPr>
        <w:t xml:space="preserve"> De la propriété intellectuelle à la saisie-contrefaçon, </w:t>
      </w:r>
      <w:r>
        <w:rPr>
          <w:bCs/>
        </w:rPr>
        <w:t xml:space="preserve">communication lors des Institutes organisées le 28 septembre 2012, par l’Ecole nationale de procédure sur </w:t>
      </w:r>
      <w:proofErr w:type="gramStart"/>
      <w:r>
        <w:rPr>
          <w:bCs/>
        </w:rPr>
        <w:t>le</w:t>
      </w:r>
      <w:proofErr w:type="gramEnd"/>
      <w:r>
        <w:rPr>
          <w:bCs/>
        </w:rPr>
        <w:t xml:space="preserve"> thèse de la saisie-contrefaçon, parution en cours dans la revue Droit et procédures</w:t>
      </w:r>
    </w:p>
    <w:p w:rsidR="00D71DFD" w:rsidRDefault="00D71DFD" w:rsidP="00D71DFD">
      <w:pPr>
        <w:ind w:left="720"/>
        <w:rPr>
          <w:u w:val="single"/>
        </w:rPr>
      </w:pPr>
    </w:p>
    <w:p w:rsidR="00D71DFD" w:rsidRDefault="00D71DFD" w:rsidP="00D71DFD">
      <w:pPr>
        <w:numPr>
          <w:ilvl w:val="0"/>
          <w:numId w:val="2"/>
        </w:numPr>
        <w:rPr>
          <w:u w:val="single"/>
        </w:rPr>
      </w:pPr>
      <w:r>
        <w:rPr>
          <w:b/>
          <w:bCs/>
        </w:rPr>
        <w:t xml:space="preserve">La motivation des lois, </w:t>
      </w:r>
      <w:r>
        <w:rPr>
          <w:bCs/>
        </w:rPr>
        <w:t>publication des actes du colloque organisé par le laboratoire de droit privé, Revue Lamy Droit civil 2012, p.65.</w:t>
      </w:r>
    </w:p>
    <w:p w:rsidR="00D71DFD" w:rsidRDefault="00D71DFD" w:rsidP="00D71DFD">
      <w:pPr>
        <w:ind w:left="720"/>
        <w:rPr>
          <w:u w:val="single"/>
        </w:rPr>
      </w:pPr>
    </w:p>
    <w:p w:rsidR="00D71DFD" w:rsidRDefault="00D71DFD" w:rsidP="00D71DFD">
      <w:pPr>
        <w:numPr>
          <w:ilvl w:val="0"/>
          <w:numId w:val="2"/>
        </w:numPr>
        <w:rPr>
          <w:u w:val="single"/>
        </w:rPr>
      </w:pPr>
      <w:r>
        <w:rPr>
          <w:b/>
          <w:bCs/>
        </w:rPr>
        <w:t xml:space="preserve">Le titre exécutoire européen à la lumière de la Convention européenne des droits de l’homme, </w:t>
      </w:r>
      <w:r>
        <w:rPr>
          <w:bCs/>
        </w:rPr>
        <w:t>contribution à l’ouvrage collectif</w:t>
      </w:r>
      <w:r>
        <w:rPr>
          <w:b/>
          <w:bCs/>
        </w:rPr>
        <w:t xml:space="preserve"> La justice civile européenne en marche </w:t>
      </w:r>
      <w:r>
        <w:rPr>
          <w:bCs/>
        </w:rPr>
        <w:t xml:space="preserve">sous la direction de M. </w:t>
      </w:r>
      <w:proofErr w:type="spellStart"/>
      <w:r>
        <w:rPr>
          <w:bCs/>
        </w:rPr>
        <w:t>Douchy-Oudot</w:t>
      </w:r>
      <w:proofErr w:type="spellEnd"/>
      <w:r>
        <w:rPr>
          <w:bCs/>
        </w:rPr>
        <w:t xml:space="preserve"> et E. </w:t>
      </w:r>
      <w:proofErr w:type="spellStart"/>
      <w:r>
        <w:rPr>
          <w:bCs/>
        </w:rPr>
        <w:t>Guinchard</w:t>
      </w:r>
      <w:proofErr w:type="spellEnd"/>
      <w:r>
        <w:rPr>
          <w:bCs/>
        </w:rPr>
        <w:t>, Dalloz, 2012, p. 133.</w:t>
      </w:r>
    </w:p>
    <w:p w:rsidR="00D71DFD" w:rsidRDefault="00D71DFD" w:rsidP="00D71DFD">
      <w:pPr>
        <w:pStyle w:val="Paragraphedeliste"/>
        <w:rPr>
          <w:b/>
          <w:bCs/>
        </w:rPr>
      </w:pPr>
    </w:p>
    <w:p w:rsidR="00D71DFD" w:rsidRDefault="00D71DFD" w:rsidP="00D71DFD">
      <w:pPr>
        <w:numPr>
          <w:ilvl w:val="0"/>
          <w:numId w:val="2"/>
        </w:numPr>
        <w:rPr>
          <w:u w:val="single"/>
        </w:rPr>
      </w:pPr>
      <w:r>
        <w:rPr>
          <w:b/>
          <w:bCs/>
        </w:rPr>
        <w:t xml:space="preserve">Le nouvel article 22-2 de la loi du 9 juillet 19991 portant réforme des procédures civiles d’exécution ou la mise en place d’un droit de gage général à géométrie variable, </w:t>
      </w:r>
      <w:r>
        <w:t>Bull. Joly, Entreprises en difficulté, 2011, n°5, p. 354</w:t>
      </w:r>
    </w:p>
    <w:p w:rsidR="00D71DFD" w:rsidRDefault="00D71DFD" w:rsidP="00D71DFD">
      <w:pPr>
        <w:rPr>
          <w:u w:val="single"/>
        </w:rPr>
      </w:pPr>
    </w:p>
    <w:p w:rsidR="00D71DFD" w:rsidRDefault="00D71DFD" w:rsidP="00D71DFD">
      <w:pPr>
        <w:pStyle w:val="Paragraphedeliste"/>
        <w:rPr>
          <w:b/>
          <w:bCs/>
        </w:rPr>
      </w:pPr>
    </w:p>
    <w:p w:rsidR="00D71DFD" w:rsidRDefault="00D71DFD" w:rsidP="00D71DFD">
      <w:pPr>
        <w:numPr>
          <w:ilvl w:val="0"/>
          <w:numId w:val="2"/>
        </w:numPr>
        <w:rPr>
          <w:u w:val="single"/>
        </w:rPr>
      </w:pPr>
      <w:r>
        <w:rPr>
          <w:b/>
          <w:bCs/>
        </w:rPr>
        <w:t>Présentation de la réforme du droit de la consommation – approche de droit interne, présentation introductive de la loi 2010-737 du 1</w:t>
      </w:r>
      <w:r>
        <w:rPr>
          <w:b/>
          <w:bCs/>
          <w:vertAlign w:val="superscript"/>
        </w:rPr>
        <w:t>er</w:t>
      </w:r>
      <w:r>
        <w:rPr>
          <w:b/>
          <w:bCs/>
        </w:rPr>
        <w:t xml:space="preserve"> juillet 2010 portant réforme du crédit à la consommation, </w:t>
      </w:r>
      <w:r>
        <w:rPr>
          <w:bCs/>
        </w:rPr>
        <w:t>Revue de droit bancaire et financier, 2011, n°5, p.64</w:t>
      </w:r>
    </w:p>
    <w:p w:rsidR="00D71DFD" w:rsidRDefault="00D71DFD" w:rsidP="00D71DFD">
      <w:pPr>
        <w:pStyle w:val="Paragraphedeliste"/>
        <w:rPr>
          <w:u w:val="single"/>
        </w:rPr>
      </w:pPr>
    </w:p>
    <w:p w:rsidR="00D71DFD" w:rsidRDefault="00D71DFD" w:rsidP="00D71DFD">
      <w:pPr>
        <w:numPr>
          <w:ilvl w:val="0"/>
          <w:numId w:val="2"/>
        </w:numPr>
        <w:rPr>
          <w:u w:val="single"/>
        </w:rPr>
      </w:pPr>
      <w:r>
        <w:rPr>
          <w:b/>
        </w:rPr>
        <w:t>Les déontologies des professions du droit : quel avenir </w:t>
      </w:r>
      <w:r>
        <w:t>?, Rapport introductif au Colloque des IEJ, Droit et Patrimoine, 2010, n°195</w:t>
      </w:r>
    </w:p>
    <w:p w:rsidR="00D71DFD" w:rsidRDefault="00D71DFD" w:rsidP="00D71DFD">
      <w:pPr>
        <w:ind w:left="720"/>
        <w:rPr>
          <w:u w:val="single"/>
        </w:rPr>
      </w:pPr>
    </w:p>
    <w:p w:rsidR="00D71DFD" w:rsidRDefault="00D71DFD" w:rsidP="00D71DFD">
      <w:pPr>
        <w:ind w:left="720"/>
        <w:rPr>
          <w:u w:val="single"/>
        </w:rPr>
      </w:pPr>
    </w:p>
    <w:p w:rsidR="00D71DFD" w:rsidRDefault="00D71DFD" w:rsidP="00D71DFD">
      <w:pPr>
        <w:numPr>
          <w:ilvl w:val="0"/>
          <w:numId w:val="2"/>
        </w:numPr>
        <w:rPr>
          <w:u w:val="single"/>
        </w:rPr>
      </w:pPr>
      <w:r>
        <w:rPr>
          <w:b/>
          <w:bCs/>
        </w:rPr>
        <w:t xml:space="preserve">« La directive 1999/99/CE sur un cadre communautaire pour les signatures électroniques », </w:t>
      </w:r>
      <w:r>
        <w:t>Revue Lamy droit de l’immatériel 2009, n°52, supplément</w:t>
      </w:r>
      <w:r>
        <w:rPr>
          <w:b/>
          <w:bCs/>
        </w:rPr>
        <w:t>.</w:t>
      </w:r>
    </w:p>
    <w:p w:rsidR="00D71DFD" w:rsidRDefault="00D71DFD" w:rsidP="00D71DFD">
      <w:pPr>
        <w:rPr>
          <w:u w:val="single"/>
        </w:rPr>
      </w:pPr>
      <w:r>
        <w:rPr>
          <w:b/>
          <w:bCs/>
        </w:rPr>
        <w:t xml:space="preserve"> </w:t>
      </w:r>
    </w:p>
    <w:p w:rsidR="00D71DFD" w:rsidRDefault="00D71DFD" w:rsidP="00D71DFD">
      <w:pPr>
        <w:numPr>
          <w:ilvl w:val="0"/>
          <w:numId w:val="2"/>
        </w:numPr>
        <w:rPr>
          <w:u w:val="single"/>
        </w:rPr>
      </w:pPr>
      <w:r>
        <w:rPr>
          <w:b/>
          <w:bCs/>
        </w:rPr>
        <w:t>« Régulation et class action : outil de régulation des dommages causés par les accidents sériels (produits, médicaments, etc…),</w:t>
      </w:r>
      <w:r>
        <w:t xml:space="preserve"> Annales de la régulation, Vol. 2 (2009), Bibliothèque de l’Institut de Recherche juridique de la Sorbonne, sous la direction de T. </w:t>
      </w:r>
      <w:proofErr w:type="spellStart"/>
      <w:r>
        <w:t>Revet</w:t>
      </w:r>
      <w:proofErr w:type="spellEnd"/>
      <w:r>
        <w:t xml:space="preserve"> et de L. Vidal, p. 219.</w:t>
      </w:r>
    </w:p>
    <w:p w:rsidR="00D71DFD" w:rsidRDefault="00D71DFD" w:rsidP="00D71DFD">
      <w:pPr>
        <w:ind w:left="360"/>
        <w:rPr>
          <w:u w:val="single"/>
        </w:rPr>
      </w:pPr>
    </w:p>
    <w:p w:rsidR="00D71DFD" w:rsidRDefault="00D71DFD" w:rsidP="00D71DFD">
      <w:pPr>
        <w:numPr>
          <w:ilvl w:val="0"/>
          <w:numId w:val="2"/>
        </w:numPr>
        <w:rPr>
          <w:u w:val="single"/>
        </w:rPr>
      </w:pPr>
      <w:r>
        <w:t>« </w:t>
      </w:r>
      <w:r>
        <w:rPr>
          <w:b/>
          <w:bCs/>
        </w:rPr>
        <w:t>La radiation du rôle sanctionnant l’inexécution d’une décision de première instance</w:t>
      </w:r>
      <w:r>
        <w:t xml:space="preserve"> », </w:t>
      </w:r>
      <w:r>
        <w:rPr>
          <w:i/>
          <w:iCs/>
        </w:rPr>
        <w:t xml:space="preserve">Gazette du Palais, </w:t>
      </w:r>
      <w:r>
        <w:t>2008, n°277 à 278, p. 39.</w:t>
      </w:r>
    </w:p>
    <w:p w:rsidR="00D71DFD" w:rsidRDefault="00D71DFD" w:rsidP="00D71DFD">
      <w:pPr>
        <w:ind w:left="360"/>
        <w:rPr>
          <w:u w:val="single"/>
        </w:rPr>
      </w:pPr>
    </w:p>
    <w:p w:rsidR="00D71DFD" w:rsidRDefault="00D71DFD" w:rsidP="00D71DFD">
      <w:pPr>
        <w:numPr>
          <w:ilvl w:val="0"/>
          <w:numId w:val="2"/>
        </w:numPr>
      </w:pPr>
      <w:r>
        <w:t>«</w:t>
      </w:r>
      <w:r>
        <w:rPr>
          <w:u w:val="single"/>
        </w:rPr>
        <w:t> </w:t>
      </w:r>
      <w:r>
        <w:rPr>
          <w:b/>
          <w:bCs/>
        </w:rPr>
        <w:t>La loi n°2007-1544 du 29 octobre 2007 de lutte contre la contrefaçon</w:t>
      </w:r>
      <w:r>
        <w:t xml:space="preserve"> », </w:t>
      </w:r>
      <w:r>
        <w:rPr>
          <w:i/>
          <w:iCs/>
        </w:rPr>
        <w:t>Droit et procédure</w:t>
      </w:r>
      <w:r>
        <w:t>, 2008, p. 4.</w:t>
      </w:r>
    </w:p>
    <w:p w:rsidR="00D71DFD" w:rsidRDefault="00D71DFD" w:rsidP="00D71DFD">
      <w:pPr>
        <w:pStyle w:val="Paragraphedeliste"/>
      </w:pPr>
    </w:p>
    <w:p w:rsidR="00D71DFD" w:rsidRDefault="00D71DFD" w:rsidP="00D71DFD">
      <w:r>
        <w:t>Ouvrages collectifs</w:t>
      </w:r>
    </w:p>
    <w:p w:rsidR="00D71DFD" w:rsidRDefault="00D71DFD" w:rsidP="00D71DFD">
      <w:r>
        <w:tab/>
        <w:t xml:space="preserve">Le droit à l’exécution des décisions de justice in Droits et libertés fondamentaux, sous la direction des </w:t>
      </w:r>
      <w:proofErr w:type="spellStart"/>
      <w:r>
        <w:t>Prs</w:t>
      </w:r>
      <w:proofErr w:type="spellEnd"/>
      <w:r>
        <w:t xml:space="preserve">. R. </w:t>
      </w:r>
      <w:proofErr w:type="spellStart"/>
      <w:r>
        <w:t>Cabrillac</w:t>
      </w:r>
      <w:proofErr w:type="spellEnd"/>
      <w:r>
        <w:t xml:space="preserve">, M.-A. Frison-Roche et T. </w:t>
      </w:r>
      <w:proofErr w:type="spellStart"/>
      <w:r>
        <w:t>Revet</w:t>
      </w:r>
      <w:proofErr w:type="spellEnd"/>
      <w:r>
        <w:t>, Dalloz, 18</w:t>
      </w:r>
      <w:r>
        <w:rPr>
          <w:vertAlign w:val="superscript"/>
        </w:rPr>
        <w:t>ème</w:t>
      </w:r>
      <w:r>
        <w:t xml:space="preserve"> éd. 2012</w:t>
      </w:r>
    </w:p>
    <w:p w:rsidR="00D71DFD" w:rsidRDefault="00D71DFD" w:rsidP="00D71DFD">
      <w:r>
        <w:tab/>
        <w:t xml:space="preserve">Vocabulaire juridique, sous la direction du Pr. R. </w:t>
      </w:r>
      <w:proofErr w:type="spellStart"/>
      <w:r>
        <w:t>Cabrillac</w:t>
      </w:r>
      <w:proofErr w:type="spellEnd"/>
    </w:p>
    <w:p w:rsidR="00D71DFD" w:rsidRDefault="00D71DFD" w:rsidP="00D71DFD"/>
    <w:p w:rsidR="00D71DFD" w:rsidRDefault="00D71DFD" w:rsidP="00D71DFD">
      <w:r>
        <w:t>Contributions n’ayant pas données lieu à publication (Médiation)</w:t>
      </w:r>
    </w:p>
    <w:p w:rsidR="00D71DFD" w:rsidRDefault="00D71DFD" w:rsidP="00D71DFD"/>
    <w:p w:rsidR="00D71DFD" w:rsidRDefault="00D71DFD" w:rsidP="00D71DFD"/>
    <w:p w:rsidR="00D71DFD" w:rsidRDefault="00D71DFD" w:rsidP="00D71DFD">
      <w:pPr>
        <w:pStyle w:val="En-tte"/>
        <w:tabs>
          <w:tab w:val="left" w:pos="708"/>
        </w:tabs>
      </w:pPr>
    </w:p>
    <w:p w:rsidR="00D71DFD" w:rsidRDefault="00D71DFD" w:rsidP="00D71DFD">
      <w:pPr>
        <w:pStyle w:val="En-tte"/>
        <w:tabs>
          <w:tab w:val="left" w:pos="708"/>
        </w:tabs>
      </w:pPr>
    </w:p>
    <w:p w:rsidR="00D71DFD" w:rsidRDefault="00D71DFD" w:rsidP="00D71DFD">
      <w:pPr>
        <w:pStyle w:val="En-tte"/>
        <w:tabs>
          <w:tab w:val="left" w:pos="708"/>
        </w:tabs>
      </w:pPr>
    </w:p>
    <w:p w:rsidR="00D71DFD" w:rsidRDefault="00D71DFD" w:rsidP="00D71DFD">
      <w:pPr>
        <w:pStyle w:val="En-tte"/>
        <w:tabs>
          <w:tab w:val="left" w:pos="708"/>
        </w:tabs>
      </w:pPr>
    </w:p>
    <w:p w:rsidR="00D71DFD" w:rsidRDefault="00D71DFD" w:rsidP="00D71DFD">
      <w:pPr>
        <w:pageBreakBefore/>
      </w:pPr>
    </w:p>
    <w:p w:rsidR="00D71DFD" w:rsidRDefault="00D71DFD" w:rsidP="00D71DFD">
      <w:pPr>
        <w:pStyle w:val="En-tte"/>
        <w:pBdr>
          <w:top w:val="single" w:sz="8" w:space="1" w:color="000000"/>
          <w:left w:val="single" w:sz="8" w:space="4" w:color="000000"/>
          <w:bottom w:val="single" w:sz="8" w:space="1" w:color="000000"/>
          <w:right w:val="single" w:sz="8" w:space="6" w:color="000000"/>
        </w:pBdr>
        <w:shd w:val="clear" w:color="auto" w:fill="CCFFFF"/>
        <w:tabs>
          <w:tab w:val="left" w:pos="708"/>
        </w:tabs>
        <w:ind w:right="-360"/>
        <w:rPr>
          <w:rFonts w:ascii="Arial" w:hAnsi="Arial" w:cs="Arial"/>
          <w:b/>
          <w:color w:val="000000"/>
          <w:sz w:val="28"/>
          <w:szCs w:val="28"/>
        </w:rPr>
      </w:pPr>
      <w:r>
        <w:rPr>
          <w:rFonts w:ascii="Arial" w:hAnsi="Arial" w:cs="Arial"/>
          <w:b/>
          <w:color w:val="000000"/>
          <w:sz w:val="28"/>
          <w:szCs w:val="28"/>
        </w:rPr>
        <w:t>2. Encadrement doctoral et scientifique </w:t>
      </w:r>
    </w:p>
    <w:p w:rsidR="00D71DFD" w:rsidRDefault="00D71DFD" w:rsidP="00D71DFD">
      <w:pPr>
        <w:pStyle w:val="En-tte"/>
        <w:pBdr>
          <w:top w:val="single" w:sz="8" w:space="1" w:color="000000"/>
          <w:left w:val="single" w:sz="8" w:space="4" w:color="000000"/>
          <w:bottom w:val="single" w:sz="8" w:space="1" w:color="000000"/>
          <w:right w:val="single" w:sz="8" w:space="6" w:color="000000"/>
        </w:pBdr>
        <w:shd w:val="clear" w:color="auto" w:fill="CCFFFF"/>
        <w:tabs>
          <w:tab w:val="left" w:pos="708"/>
        </w:tabs>
        <w:ind w:right="-360"/>
        <w:rPr>
          <w:rFonts w:ascii="Arial" w:hAnsi="Arial" w:cs="Arial"/>
          <w:bCs/>
          <w:i/>
          <w:iCs/>
          <w:color w:val="000000"/>
          <w:sz w:val="28"/>
          <w:szCs w:val="28"/>
        </w:rPr>
      </w:pPr>
      <w:r>
        <w:rPr>
          <w:rFonts w:ascii="Arial" w:hAnsi="Arial" w:cs="Arial"/>
          <w:bCs/>
          <w:color w:val="000000"/>
          <w:sz w:val="28"/>
          <w:szCs w:val="28"/>
        </w:rPr>
        <w:t xml:space="preserve">- </w:t>
      </w:r>
      <w:r>
        <w:rPr>
          <w:rFonts w:ascii="Arial" w:hAnsi="Arial" w:cs="Arial"/>
          <w:bCs/>
          <w:i/>
          <w:iCs/>
          <w:color w:val="000000"/>
          <w:sz w:val="28"/>
          <w:szCs w:val="28"/>
        </w:rPr>
        <w:t>uniquement des informations complémentaires à celles renseignées dans le dossier de candidature</w:t>
      </w:r>
    </w:p>
    <w:p w:rsidR="00D71DFD" w:rsidRDefault="00D71DFD" w:rsidP="00D71DFD">
      <w:pPr>
        <w:rPr>
          <w:sz w:val="22"/>
          <w:szCs w:val="22"/>
        </w:rPr>
      </w:pPr>
    </w:p>
    <w:p w:rsidR="00D71DFD" w:rsidRDefault="00D71DFD" w:rsidP="00D71DFD">
      <w:pPr>
        <w:rPr>
          <w:rFonts w:ascii="Arial" w:hAnsi="Arial" w:cs="Arial"/>
          <w:sz w:val="28"/>
          <w:szCs w:val="22"/>
        </w:rPr>
      </w:pPr>
    </w:p>
    <w:p w:rsidR="00D71DFD" w:rsidRDefault="00D71DFD" w:rsidP="00D71DFD">
      <w:pPr>
        <w:rPr>
          <w:rFonts w:ascii="Arial" w:hAnsi="Arial" w:cs="Arial"/>
          <w:sz w:val="28"/>
          <w:szCs w:val="22"/>
        </w:rPr>
      </w:pPr>
      <w:r>
        <w:rPr>
          <w:rFonts w:ascii="Arial" w:hAnsi="Arial" w:cs="Arial"/>
          <w:sz w:val="28"/>
          <w:szCs w:val="22"/>
        </w:rPr>
        <w:t>Uniquement des thèses en cours dont une à l’Université de Perpignan</w:t>
      </w:r>
    </w:p>
    <w:p w:rsidR="00D71DFD" w:rsidRDefault="00D71DFD" w:rsidP="00D71DFD">
      <w:pPr>
        <w:rPr>
          <w:rFonts w:ascii="Arial" w:hAnsi="Arial" w:cs="Arial"/>
          <w:sz w:val="28"/>
          <w:szCs w:val="22"/>
        </w:rPr>
      </w:pPr>
    </w:p>
    <w:p w:rsidR="00D71DFD" w:rsidRDefault="00D71DFD" w:rsidP="00D71DFD">
      <w:pPr>
        <w:rPr>
          <w:rFonts w:ascii="Arial" w:hAnsi="Arial" w:cs="Arial"/>
          <w:sz w:val="28"/>
          <w:szCs w:val="22"/>
        </w:rPr>
      </w:pPr>
      <w:r>
        <w:rPr>
          <w:rFonts w:ascii="Arial" w:hAnsi="Arial" w:cs="Arial"/>
          <w:sz w:val="28"/>
          <w:szCs w:val="22"/>
        </w:rPr>
        <w:t xml:space="preserve">Mme BOUMAZA prépare sous ma direction, une thèse financée par une fondation, sur les aspects juridiques de l’utilisation des robots dans l’assistance aux personnes. Le financement étalé sur trois années, prendra fin en 2013 et la thèse devrait normalement être en état d’être soutenue à cette date. </w:t>
      </w:r>
    </w:p>
    <w:p w:rsidR="00D71DFD" w:rsidRDefault="00D71DFD" w:rsidP="00D71DFD">
      <w:pPr>
        <w:rPr>
          <w:rFonts w:ascii="Arial" w:hAnsi="Arial" w:cs="Arial"/>
          <w:sz w:val="28"/>
          <w:szCs w:val="22"/>
        </w:rPr>
      </w:pPr>
    </w:p>
    <w:p w:rsidR="00D71DFD" w:rsidRDefault="00D71DFD" w:rsidP="00D71DFD">
      <w:pPr>
        <w:rPr>
          <w:rFonts w:ascii="Arial" w:hAnsi="Arial" w:cs="Arial"/>
          <w:sz w:val="28"/>
          <w:szCs w:val="22"/>
        </w:rPr>
      </w:pPr>
      <w:r>
        <w:rPr>
          <w:rFonts w:ascii="Arial" w:hAnsi="Arial" w:cs="Arial"/>
          <w:sz w:val="28"/>
          <w:szCs w:val="22"/>
        </w:rPr>
        <w:t>Monsieur BEKALE, actuellement ATER à l’Université de Perpignan achève une thèse sur la concurrence déloyale à l’épreuve d’Internet, celle-ci devrait être soutenue fin 2012</w:t>
      </w:r>
    </w:p>
    <w:p w:rsidR="00D71DFD" w:rsidRDefault="00D71DFD" w:rsidP="00D71DFD">
      <w:pPr>
        <w:rPr>
          <w:rFonts w:ascii="Arial" w:hAnsi="Arial" w:cs="Arial"/>
          <w:sz w:val="28"/>
          <w:szCs w:val="22"/>
        </w:rPr>
      </w:pPr>
    </w:p>
    <w:p w:rsidR="00D71DFD" w:rsidRDefault="00D71DFD" w:rsidP="00D71DFD">
      <w:pPr>
        <w:rPr>
          <w:rFonts w:ascii="Arial" w:hAnsi="Arial" w:cs="Arial"/>
          <w:sz w:val="28"/>
          <w:szCs w:val="22"/>
        </w:rPr>
      </w:pPr>
      <w:r>
        <w:rPr>
          <w:rFonts w:ascii="Arial" w:hAnsi="Arial" w:cs="Arial"/>
          <w:sz w:val="28"/>
          <w:szCs w:val="22"/>
        </w:rPr>
        <w:t xml:space="preserve">Mme MINATA, prépare en </w:t>
      </w:r>
      <w:proofErr w:type="spellStart"/>
      <w:r>
        <w:rPr>
          <w:rFonts w:ascii="Arial" w:hAnsi="Arial" w:cs="Arial"/>
          <w:sz w:val="28"/>
          <w:szCs w:val="22"/>
        </w:rPr>
        <w:t>co-tutelle</w:t>
      </w:r>
      <w:proofErr w:type="spellEnd"/>
      <w:r>
        <w:rPr>
          <w:rFonts w:ascii="Arial" w:hAnsi="Arial" w:cs="Arial"/>
          <w:sz w:val="28"/>
          <w:szCs w:val="22"/>
        </w:rPr>
        <w:t xml:space="preserve"> avec un professeur Sénégalais, une thèse de droit comparé sur l’encadrement juridique du commerce électronique. Elle devrait pouvoir être soutenue, sauf contretemps, en 2013</w:t>
      </w:r>
    </w:p>
    <w:p w:rsidR="00D71DFD" w:rsidRDefault="00D71DFD" w:rsidP="00D71DFD">
      <w:pPr>
        <w:rPr>
          <w:rFonts w:ascii="Arial" w:hAnsi="Arial" w:cs="Arial"/>
          <w:sz w:val="28"/>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pStyle w:val="En-tte"/>
        <w:pBdr>
          <w:top w:val="single" w:sz="8" w:space="1" w:color="000000"/>
          <w:left w:val="single" w:sz="8" w:space="4" w:color="000000"/>
          <w:bottom w:val="single" w:sz="8" w:space="1" w:color="000000"/>
          <w:right w:val="single" w:sz="8" w:space="6" w:color="000000"/>
        </w:pBdr>
        <w:shd w:val="clear" w:color="auto" w:fill="CCFFFF"/>
        <w:tabs>
          <w:tab w:val="left" w:pos="708"/>
        </w:tabs>
        <w:ind w:right="-360"/>
        <w:rPr>
          <w:rFonts w:ascii="Arial" w:hAnsi="Arial" w:cs="Arial"/>
          <w:b/>
          <w:color w:val="000000"/>
          <w:sz w:val="28"/>
          <w:szCs w:val="28"/>
        </w:rPr>
      </w:pPr>
      <w:r>
        <w:rPr>
          <w:rFonts w:ascii="Arial" w:hAnsi="Arial" w:cs="Arial"/>
          <w:b/>
          <w:color w:val="000000"/>
          <w:sz w:val="28"/>
          <w:szCs w:val="28"/>
        </w:rPr>
        <w:t>3. Rayonnement </w:t>
      </w:r>
    </w:p>
    <w:p w:rsidR="00D71DFD" w:rsidRDefault="00D71DFD" w:rsidP="00D71DFD">
      <w:pPr>
        <w:rPr>
          <w:rFonts w:ascii="Arial" w:hAnsi="Arial" w:cs="Arial"/>
          <w:bCs/>
          <w:color w:val="000000"/>
          <w:sz w:val="28"/>
          <w:szCs w:val="28"/>
        </w:rPr>
      </w:pPr>
    </w:p>
    <w:p w:rsidR="00D71DFD" w:rsidRDefault="00D71DFD" w:rsidP="00D71DFD">
      <w:pPr>
        <w:rPr>
          <w:rFonts w:ascii="Arial" w:hAnsi="Arial" w:cs="Arial"/>
          <w:bCs/>
          <w:color w:val="000000"/>
          <w:sz w:val="28"/>
          <w:szCs w:val="28"/>
        </w:rPr>
      </w:pPr>
      <w:r>
        <w:rPr>
          <w:rFonts w:ascii="Arial" w:hAnsi="Arial" w:cs="Arial"/>
          <w:bCs/>
          <w:color w:val="000000"/>
          <w:sz w:val="28"/>
          <w:szCs w:val="28"/>
        </w:rPr>
        <w:t>En tant que co-directrice du laboratoire de droit privé, je participe à l’organisation de programmes de recherche destinés à mettre en lumière les compétences et le dynamisme de nos chercheurs. L’attribution au laboratoire de droit privé de la note A par l’AERES  a encouragé notre équipe à poursuivre dans la voie de l’excellence.</w:t>
      </w:r>
    </w:p>
    <w:p w:rsidR="00D71DFD" w:rsidRDefault="00D71DFD" w:rsidP="00D71DFD">
      <w:pPr>
        <w:rPr>
          <w:rFonts w:ascii="Arial" w:hAnsi="Arial" w:cs="Arial"/>
          <w:bCs/>
          <w:color w:val="000000"/>
          <w:sz w:val="28"/>
          <w:szCs w:val="28"/>
        </w:rPr>
      </w:pPr>
    </w:p>
    <w:p w:rsidR="00D71DFD" w:rsidRDefault="00D71DFD" w:rsidP="00D71DFD">
      <w:pPr>
        <w:rPr>
          <w:rFonts w:ascii="Arial" w:hAnsi="Arial" w:cs="Arial"/>
          <w:bCs/>
          <w:color w:val="000000"/>
          <w:sz w:val="28"/>
          <w:szCs w:val="28"/>
        </w:rPr>
      </w:pPr>
      <w:r>
        <w:rPr>
          <w:rFonts w:ascii="Arial" w:hAnsi="Arial" w:cs="Arial"/>
          <w:bCs/>
          <w:color w:val="000000"/>
          <w:sz w:val="28"/>
          <w:szCs w:val="28"/>
        </w:rPr>
        <w:t xml:space="preserve">J’ai aussi en tant que co-directrice de ce laboratoire, initiée notre participation au projet de </w:t>
      </w:r>
      <w:proofErr w:type="spellStart"/>
      <w:r>
        <w:rPr>
          <w:rFonts w:ascii="Arial" w:hAnsi="Arial" w:cs="Arial"/>
          <w:bCs/>
          <w:color w:val="000000"/>
          <w:sz w:val="28"/>
          <w:szCs w:val="28"/>
        </w:rPr>
        <w:t>Labex</w:t>
      </w:r>
      <w:proofErr w:type="spellEnd"/>
      <w:r>
        <w:rPr>
          <w:rFonts w:ascii="Arial" w:hAnsi="Arial" w:cs="Arial"/>
          <w:bCs/>
          <w:color w:val="000000"/>
          <w:sz w:val="28"/>
          <w:szCs w:val="28"/>
        </w:rPr>
        <w:t xml:space="preserve"> élaboré sur le thème « Entreprendre » et je </w:t>
      </w:r>
      <w:proofErr w:type="spellStart"/>
      <w:r>
        <w:rPr>
          <w:rFonts w:ascii="Arial" w:hAnsi="Arial" w:cs="Arial"/>
          <w:bCs/>
          <w:color w:val="000000"/>
          <w:sz w:val="28"/>
          <w:szCs w:val="28"/>
        </w:rPr>
        <w:t>co-dirige</w:t>
      </w:r>
      <w:proofErr w:type="spellEnd"/>
      <w:r>
        <w:rPr>
          <w:rFonts w:ascii="Arial" w:hAnsi="Arial" w:cs="Arial"/>
          <w:bCs/>
          <w:color w:val="000000"/>
          <w:sz w:val="28"/>
          <w:szCs w:val="28"/>
        </w:rPr>
        <w:t xml:space="preserve"> la chaire d’excellence « Prévention et traitement des difficultés des entreprises » avec le Pr. F. PEROCHON</w:t>
      </w:r>
    </w:p>
    <w:p w:rsidR="00D71DFD" w:rsidRDefault="00D71DFD" w:rsidP="00D71DFD">
      <w:pPr>
        <w:rPr>
          <w:rFonts w:ascii="Arial" w:hAnsi="Arial" w:cs="Arial"/>
          <w:bCs/>
          <w:color w:val="000000"/>
          <w:sz w:val="28"/>
          <w:szCs w:val="28"/>
        </w:rPr>
      </w:pPr>
    </w:p>
    <w:p w:rsidR="00D71DFD" w:rsidRDefault="00D71DFD" w:rsidP="00D71DFD">
      <w:pPr>
        <w:pStyle w:val="Corpsdetexte2"/>
      </w:pPr>
      <w:r>
        <w:t>Parallèlement, j’essaie de prendre part à des colloques internationaux, de favoriser les thèmes de recherche impliquant une dimension européenne et lorsque cela est possible d’intervenir en anglais ou en espagnol. En voici, quelques exemples :</w:t>
      </w:r>
    </w:p>
    <w:p w:rsidR="00D71DFD" w:rsidRDefault="00D71DFD" w:rsidP="00D71DFD">
      <w:pPr>
        <w:rPr>
          <w:rFonts w:ascii="Arial" w:hAnsi="Arial" w:cs="Arial"/>
          <w:bCs/>
          <w:color w:val="000000"/>
          <w:sz w:val="28"/>
          <w:szCs w:val="28"/>
        </w:rPr>
      </w:pPr>
    </w:p>
    <w:p w:rsidR="00D71DFD" w:rsidRDefault="00D71DFD" w:rsidP="00D71DFD">
      <w:pPr>
        <w:ind w:left="360"/>
        <w:rPr>
          <w:rFonts w:ascii="Arial" w:hAnsi="Arial" w:cs="Arial"/>
          <w:bCs/>
        </w:rPr>
      </w:pPr>
      <w:r>
        <w:rPr>
          <w:rFonts w:ascii="Arial" w:hAnsi="Arial" w:cs="Arial"/>
          <w:b/>
        </w:rPr>
        <w:t xml:space="preserve">El </w:t>
      </w:r>
      <w:proofErr w:type="spellStart"/>
      <w:r>
        <w:rPr>
          <w:rFonts w:ascii="Arial" w:hAnsi="Arial" w:cs="Arial"/>
          <w:b/>
        </w:rPr>
        <w:t>lugar</w:t>
      </w:r>
      <w:proofErr w:type="spellEnd"/>
      <w:r>
        <w:rPr>
          <w:rFonts w:ascii="Arial" w:hAnsi="Arial" w:cs="Arial"/>
          <w:b/>
        </w:rPr>
        <w:t xml:space="preserve"> de la </w:t>
      </w:r>
      <w:proofErr w:type="spellStart"/>
      <w:r>
        <w:rPr>
          <w:rFonts w:ascii="Arial" w:hAnsi="Arial" w:cs="Arial"/>
          <w:b/>
        </w:rPr>
        <w:t>oralidad</w:t>
      </w:r>
      <w:proofErr w:type="spellEnd"/>
      <w:r>
        <w:rPr>
          <w:rFonts w:ascii="Arial" w:hAnsi="Arial" w:cs="Arial"/>
          <w:b/>
        </w:rPr>
        <w:t xml:space="preserve"> en el </w:t>
      </w:r>
      <w:proofErr w:type="spellStart"/>
      <w:r>
        <w:rPr>
          <w:rFonts w:ascii="Arial" w:hAnsi="Arial" w:cs="Arial"/>
          <w:b/>
        </w:rPr>
        <w:t>derecho</w:t>
      </w:r>
      <w:proofErr w:type="spellEnd"/>
      <w:r>
        <w:rPr>
          <w:rFonts w:ascii="Arial" w:hAnsi="Arial" w:cs="Arial"/>
          <w:b/>
        </w:rPr>
        <w:t xml:space="preserve"> civil </w:t>
      </w:r>
      <w:proofErr w:type="spellStart"/>
      <w:r>
        <w:rPr>
          <w:rFonts w:ascii="Arial" w:hAnsi="Arial" w:cs="Arial"/>
          <w:b/>
        </w:rPr>
        <w:t>francés</w:t>
      </w:r>
      <w:proofErr w:type="spellEnd"/>
      <w:r>
        <w:rPr>
          <w:rFonts w:ascii="Arial" w:hAnsi="Arial" w:cs="Arial"/>
          <w:b/>
        </w:rPr>
        <w:t xml:space="preserve">, </w:t>
      </w:r>
      <w:r>
        <w:rPr>
          <w:rFonts w:ascii="Arial" w:hAnsi="Arial" w:cs="Arial"/>
        </w:rPr>
        <w:t>contribution à la 5</w:t>
      </w:r>
      <w:r>
        <w:rPr>
          <w:rFonts w:ascii="Arial" w:hAnsi="Arial" w:cs="Arial"/>
          <w:vertAlign w:val="superscript"/>
        </w:rPr>
        <w:t>ème</w:t>
      </w:r>
      <w:r>
        <w:rPr>
          <w:rFonts w:ascii="Arial" w:hAnsi="Arial" w:cs="Arial"/>
        </w:rPr>
        <w:t xml:space="preserve"> école Michel Foucault, organisée sur le thème « </w:t>
      </w:r>
      <w:proofErr w:type="spellStart"/>
      <w:r>
        <w:rPr>
          <w:rFonts w:ascii="Arial" w:hAnsi="Arial" w:cs="Arial"/>
        </w:rPr>
        <w:t>Oralidada</w:t>
      </w:r>
      <w:proofErr w:type="spellEnd"/>
      <w:r>
        <w:rPr>
          <w:rFonts w:ascii="Arial" w:hAnsi="Arial" w:cs="Arial"/>
        </w:rPr>
        <w:t xml:space="preserve"> : </w:t>
      </w:r>
      <w:proofErr w:type="spellStart"/>
      <w:r>
        <w:rPr>
          <w:rFonts w:ascii="Arial" w:hAnsi="Arial" w:cs="Arial"/>
        </w:rPr>
        <w:t>Memorias</w:t>
      </w:r>
      <w:proofErr w:type="spellEnd"/>
      <w:r>
        <w:rPr>
          <w:rFonts w:ascii="Arial" w:hAnsi="Arial" w:cs="Arial"/>
        </w:rPr>
        <w:t xml:space="preserve">, </w:t>
      </w:r>
      <w:proofErr w:type="spellStart"/>
      <w:r>
        <w:rPr>
          <w:rFonts w:ascii="Arial" w:hAnsi="Arial" w:cs="Arial"/>
        </w:rPr>
        <w:t>relatos</w:t>
      </w:r>
      <w:proofErr w:type="spellEnd"/>
      <w:r>
        <w:rPr>
          <w:rFonts w:ascii="Arial" w:hAnsi="Arial" w:cs="Arial"/>
        </w:rPr>
        <w:t xml:space="preserve"> y </w:t>
      </w:r>
      <w:proofErr w:type="spellStart"/>
      <w:r>
        <w:rPr>
          <w:rFonts w:ascii="Arial" w:hAnsi="Arial" w:cs="Arial"/>
        </w:rPr>
        <w:t>textos</w:t>
      </w:r>
      <w:proofErr w:type="spellEnd"/>
      <w:r>
        <w:rPr>
          <w:rFonts w:ascii="Arial" w:hAnsi="Arial" w:cs="Arial"/>
        </w:rPr>
        <w:t> », contribution présentée en français le 10 mai 2011 à l’université du Chili (Santiago) et en castillan le 13 mai à l’Université australe (Valdivia), publication en cours</w:t>
      </w:r>
    </w:p>
    <w:p w:rsidR="00D71DFD" w:rsidRDefault="00D71DFD" w:rsidP="00D71DFD">
      <w:pPr>
        <w:ind w:left="360"/>
        <w:rPr>
          <w:rFonts w:ascii="Arial" w:hAnsi="Arial" w:cs="Arial"/>
          <w:bCs/>
        </w:rPr>
      </w:pPr>
    </w:p>
    <w:p w:rsidR="00D71DFD" w:rsidRDefault="00D71DFD" w:rsidP="00D71DFD">
      <w:pPr>
        <w:ind w:left="360"/>
        <w:rPr>
          <w:rFonts w:ascii="Arial" w:hAnsi="Arial" w:cs="Arial"/>
          <w:bCs/>
        </w:rPr>
      </w:pPr>
      <w:r>
        <w:rPr>
          <w:rFonts w:ascii="Arial" w:hAnsi="Arial" w:cs="Arial"/>
          <w:b/>
        </w:rPr>
        <w:t xml:space="preserve">La réforme des professions judiciaires en France, </w:t>
      </w:r>
      <w:r>
        <w:rPr>
          <w:rFonts w:ascii="Arial" w:hAnsi="Arial" w:cs="Arial"/>
        </w:rPr>
        <w:t>conférence organisée par le barreau de Buenos Aires (Argentine) en octobre 2011, en français.</w:t>
      </w:r>
    </w:p>
    <w:p w:rsidR="00D71DFD" w:rsidRDefault="00D71DFD" w:rsidP="00D71DFD">
      <w:pPr>
        <w:ind w:left="360"/>
        <w:rPr>
          <w:rFonts w:ascii="Arial" w:hAnsi="Arial" w:cs="Arial"/>
          <w:bCs/>
        </w:rPr>
      </w:pPr>
    </w:p>
    <w:p w:rsidR="00D71DFD" w:rsidRDefault="00D71DFD" w:rsidP="00D71DFD">
      <w:pPr>
        <w:ind w:left="720"/>
        <w:rPr>
          <w:rFonts w:ascii="Arial" w:hAnsi="Arial" w:cs="Arial"/>
          <w:bCs/>
        </w:rPr>
      </w:pPr>
    </w:p>
    <w:p w:rsidR="00D71DFD" w:rsidRDefault="00D71DFD" w:rsidP="00D71DFD">
      <w:pPr>
        <w:ind w:left="360"/>
        <w:rPr>
          <w:rFonts w:ascii="Arial" w:hAnsi="Arial" w:cs="Arial"/>
          <w:bCs/>
        </w:rPr>
      </w:pPr>
      <w:r>
        <w:rPr>
          <w:rFonts w:ascii="Arial" w:hAnsi="Arial" w:cs="Arial"/>
          <w:b/>
        </w:rPr>
        <w:t xml:space="preserve"> Le Point de vue du droit européen, in </w:t>
      </w:r>
      <w:r>
        <w:rPr>
          <w:rFonts w:ascii="Arial" w:hAnsi="Arial" w:cs="Arial"/>
          <w:bCs/>
        </w:rPr>
        <w:t>La déontologie, approche professionnelle, Montpellier, décembre 2010</w:t>
      </w:r>
    </w:p>
    <w:p w:rsidR="00D71DFD" w:rsidRDefault="00D71DFD" w:rsidP="00D71DFD">
      <w:pPr>
        <w:ind w:left="360"/>
        <w:rPr>
          <w:rFonts w:ascii="Arial" w:hAnsi="Arial" w:cs="Arial"/>
          <w:bCs/>
        </w:rPr>
      </w:pPr>
    </w:p>
    <w:p w:rsidR="00D71DFD" w:rsidRDefault="00D71DFD" w:rsidP="00D71DFD">
      <w:pPr>
        <w:ind w:left="360"/>
        <w:rPr>
          <w:rFonts w:ascii="Arial" w:hAnsi="Arial" w:cs="Arial"/>
          <w:bCs/>
        </w:rPr>
      </w:pPr>
      <w:r>
        <w:rPr>
          <w:rFonts w:ascii="Arial" w:hAnsi="Arial" w:cs="Arial"/>
          <w:b/>
        </w:rPr>
        <w:t xml:space="preserve">La protection des droits de la personnalité par le juge, </w:t>
      </w:r>
      <w:r>
        <w:rPr>
          <w:rFonts w:ascii="Arial" w:hAnsi="Arial" w:cs="Arial"/>
          <w:bCs/>
        </w:rPr>
        <w:t xml:space="preserve">contribution présentée lors de </w:t>
      </w:r>
      <w:proofErr w:type="gramStart"/>
      <w:r>
        <w:rPr>
          <w:rFonts w:ascii="Arial" w:hAnsi="Arial" w:cs="Arial"/>
          <w:bCs/>
        </w:rPr>
        <w:t>l’ International</w:t>
      </w:r>
      <w:proofErr w:type="gramEnd"/>
      <w:r>
        <w:rPr>
          <w:rFonts w:ascii="Arial" w:hAnsi="Arial" w:cs="Arial"/>
          <w:bCs/>
        </w:rPr>
        <w:t xml:space="preserve"> Forum of Civil Law - </w:t>
      </w:r>
      <w:proofErr w:type="spellStart"/>
      <w:r>
        <w:rPr>
          <w:rFonts w:ascii="Arial" w:hAnsi="Arial" w:cs="Arial"/>
          <w:bCs/>
        </w:rPr>
        <w:t>Legal</w:t>
      </w:r>
      <w:proofErr w:type="spellEnd"/>
      <w:r>
        <w:rPr>
          <w:rFonts w:ascii="Arial" w:hAnsi="Arial" w:cs="Arial"/>
          <w:bCs/>
        </w:rPr>
        <w:t xml:space="preserve"> protection of </w:t>
      </w:r>
      <w:proofErr w:type="spellStart"/>
      <w:r>
        <w:rPr>
          <w:rFonts w:ascii="Arial" w:hAnsi="Arial" w:cs="Arial"/>
          <w:bCs/>
        </w:rPr>
        <w:t>Personality</w:t>
      </w:r>
      <w:proofErr w:type="spellEnd"/>
      <w:r>
        <w:rPr>
          <w:rFonts w:ascii="Arial" w:hAnsi="Arial" w:cs="Arial"/>
          <w:bCs/>
        </w:rPr>
        <w:t xml:space="preserve"> </w:t>
      </w:r>
      <w:proofErr w:type="spellStart"/>
      <w:r>
        <w:rPr>
          <w:rFonts w:ascii="Arial" w:hAnsi="Arial" w:cs="Arial"/>
          <w:bCs/>
        </w:rPr>
        <w:t>Rights</w:t>
      </w:r>
      <w:proofErr w:type="spellEnd"/>
      <w:r>
        <w:rPr>
          <w:rFonts w:ascii="Arial" w:hAnsi="Arial" w:cs="Arial"/>
          <w:bCs/>
        </w:rPr>
        <w:t xml:space="preserve"> : </w:t>
      </w:r>
      <w:proofErr w:type="spellStart"/>
      <w:r>
        <w:rPr>
          <w:rFonts w:ascii="Arial" w:hAnsi="Arial" w:cs="Arial"/>
          <w:bCs/>
        </w:rPr>
        <w:t>Historical</w:t>
      </w:r>
      <w:proofErr w:type="spellEnd"/>
      <w:r>
        <w:rPr>
          <w:rFonts w:ascii="Arial" w:hAnsi="Arial" w:cs="Arial"/>
          <w:bCs/>
        </w:rPr>
        <w:t xml:space="preserve"> </w:t>
      </w:r>
      <w:proofErr w:type="spellStart"/>
      <w:r>
        <w:rPr>
          <w:rFonts w:ascii="Arial" w:hAnsi="Arial" w:cs="Arial"/>
          <w:bCs/>
        </w:rPr>
        <w:t>Foundation</w:t>
      </w:r>
      <w:proofErr w:type="spellEnd"/>
      <w:r>
        <w:rPr>
          <w:rFonts w:ascii="Arial" w:hAnsi="Arial" w:cs="Arial"/>
          <w:bCs/>
        </w:rPr>
        <w:t xml:space="preserve">, </w:t>
      </w:r>
      <w:proofErr w:type="spellStart"/>
      <w:r>
        <w:rPr>
          <w:rFonts w:ascii="Arial" w:hAnsi="Arial" w:cs="Arial"/>
          <w:bCs/>
        </w:rPr>
        <w:t>Contempory</w:t>
      </w:r>
      <w:proofErr w:type="spellEnd"/>
      <w:r>
        <w:rPr>
          <w:rFonts w:ascii="Arial" w:hAnsi="Arial" w:cs="Arial"/>
          <w:bCs/>
        </w:rPr>
        <w:t xml:space="preserve"> </w:t>
      </w:r>
      <w:proofErr w:type="spellStart"/>
      <w:r>
        <w:rPr>
          <w:rFonts w:ascii="Arial" w:hAnsi="Arial" w:cs="Arial"/>
          <w:bCs/>
        </w:rPr>
        <w:t>Development</w:t>
      </w:r>
      <w:proofErr w:type="spellEnd"/>
      <w:r>
        <w:rPr>
          <w:rFonts w:ascii="Arial" w:hAnsi="Arial" w:cs="Arial"/>
          <w:bCs/>
        </w:rPr>
        <w:t xml:space="preserve"> and Challenges, Shanghai, 14-16 octobre 2010</w:t>
      </w:r>
    </w:p>
    <w:p w:rsidR="00D71DFD" w:rsidRDefault="00D71DFD" w:rsidP="00D71DFD">
      <w:pPr>
        <w:ind w:left="360"/>
        <w:rPr>
          <w:rFonts w:ascii="Arial" w:hAnsi="Arial" w:cs="Arial"/>
          <w:bCs/>
        </w:rPr>
      </w:pPr>
    </w:p>
    <w:p w:rsidR="00D71DFD" w:rsidRDefault="00D71DFD" w:rsidP="00D71DFD">
      <w:pPr>
        <w:ind w:left="360"/>
        <w:rPr>
          <w:rFonts w:ascii="Arial" w:hAnsi="Arial" w:cs="Arial"/>
          <w:bCs/>
        </w:rPr>
      </w:pPr>
      <w:r>
        <w:rPr>
          <w:rFonts w:ascii="Arial" w:hAnsi="Arial" w:cs="Arial"/>
          <w:b/>
        </w:rPr>
        <w:t xml:space="preserve">« La directive 1999/93/CE sur un cadre communautaire pour les signatures électroniques» in  </w:t>
      </w:r>
      <w:r>
        <w:rPr>
          <w:rFonts w:ascii="Arial" w:hAnsi="Arial" w:cs="Arial"/>
          <w:bCs/>
        </w:rPr>
        <w:t>« La preuve des actes juridiques électroniques privés – mosaïque des droits européens ou trait d’union ? », Colloque Université de Lille, 28 mai 2009</w:t>
      </w:r>
    </w:p>
    <w:p w:rsidR="00D71DFD" w:rsidRDefault="00D71DFD" w:rsidP="00D71DFD">
      <w:pPr>
        <w:ind w:left="360"/>
        <w:rPr>
          <w:rFonts w:ascii="Arial" w:hAnsi="Arial" w:cs="Arial"/>
          <w:bCs/>
        </w:rPr>
      </w:pPr>
    </w:p>
    <w:p w:rsidR="00D71DFD" w:rsidRDefault="00D71DFD" w:rsidP="00D71DFD">
      <w:pPr>
        <w:ind w:left="360"/>
        <w:rPr>
          <w:rFonts w:ascii="Arial" w:hAnsi="Arial" w:cs="Arial"/>
          <w:bCs/>
        </w:rPr>
      </w:pPr>
      <w:r>
        <w:rPr>
          <w:rFonts w:ascii="Arial" w:hAnsi="Arial" w:cs="Arial"/>
          <w:b/>
        </w:rPr>
        <w:t>« La parole de l’enfant et ses limites</w:t>
      </w:r>
      <w:r>
        <w:rPr>
          <w:rFonts w:ascii="Arial" w:hAnsi="Arial" w:cs="Arial"/>
          <w:bCs/>
        </w:rPr>
        <w:t> », contribution présentée lors des rencontres juridiques Montpellier-Sherbrooke « La parole et le droit », Faculté de droit de Montpellier, le 24 juin 2008, publié en 2009.</w:t>
      </w:r>
    </w:p>
    <w:p w:rsidR="00D71DFD" w:rsidRDefault="00D71DFD" w:rsidP="00D71DFD">
      <w:pPr>
        <w:ind w:left="360"/>
        <w:rPr>
          <w:rFonts w:ascii="Arial" w:hAnsi="Arial" w:cs="Arial"/>
          <w:bCs/>
        </w:rPr>
      </w:pPr>
    </w:p>
    <w:p w:rsidR="00D71DFD" w:rsidRDefault="00D71DFD" w:rsidP="00D71DFD">
      <w:pPr>
        <w:rPr>
          <w:rFonts w:ascii="Arial" w:hAnsi="Arial" w:cs="Arial"/>
          <w:bCs/>
          <w:color w:val="000000"/>
          <w:sz w:val="28"/>
          <w:szCs w:val="28"/>
        </w:rPr>
      </w:pPr>
    </w:p>
    <w:p w:rsidR="00D71DFD" w:rsidRDefault="00D71DFD" w:rsidP="00D71DFD">
      <w:pPr>
        <w:rPr>
          <w:rFonts w:ascii="Arial" w:hAnsi="Arial" w:cs="Arial"/>
          <w:bCs/>
          <w:color w:val="000000"/>
          <w:sz w:val="28"/>
          <w:szCs w:val="28"/>
        </w:rPr>
      </w:pPr>
    </w:p>
    <w:p w:rsidR="00D71DFD" w:rsidRDefault="00D71DFD" w:rsidP="00D71DFD">
      <w:pPr>
        <w:rPr>
          <w:rFonts w:ascii="Arial" w:hAnsi="Arial" w:cs="Arial"/>
          <w:bCs/>
          <w:color w:val="000000"/>
          <w:sz w:val="28"/>
          <w:szCs w:val="28"/>
        </w:rPr>
      </w:pPr>
    </w:p>
    <w:p w:rsidR="00D71DFD" w:rsidRDefault="00D71DFD" w:rsidP="00D71DFD">
      <w:pPr>
        <w:rPr>
          <w:rFonts w:ascii="Arial" w:hAnsi="Arial" w:cs="Arial"/>
          <w:bCs/>
          <w:color w:val="000000"/>
          <w:sz w:val="28"/>
          <w:szCs w:val="28"/>
        </w:rPr>
      </w:pPr>
    </w:p>
    <w:p w:rsidR="00D71DFD" w:rsidRDefault="00D71DFD" w:rsidP="00D71DFD">
      <w:pPr>
        <w:pStyle w:val="En-tte"/>
        <w:pBdr>
          <w:top w:val="single" w:sz="8" w:space="1" w:color="000000"/>
          <w:left w:val="single" w:sz="8" w:space="4" w:color="000000"/>
          <w:bottom w:val="single" w:sz="8" w:space="1" w:color="000000"/>
          <w:right w:val="single" w:sz="8" w:space="6" w:color="000000"/>
        </w:pBdr>
        <w:shd w:val="clear" w:color="auto" w:fill="CCFFFF"/>
        <w:tabs>
          <w:tab w:val="left" w:pos="708"/>
        </w:tabs>
        <w:ind w:right="-360"/>
        <w:rPr>
          <w:rFonts w:ascii="Arial" w:hAnsi="Arial" w:cs="Arial"/>
          <w:b/>
          <w:color w:val="000000"/>
          <w:sz w:val="28"/>
          <w:szCs w:val="28"/>
        </w:rPr>
      </w:pPr>
      <w:r>
        <w:rPr>
          <w:rFonts w:ascii="Arial" w:hAnsi="Arial" w:cs="Arial"/>
          <w:b/>
          <w:color w:val="000000"/>
          <w:sz w:val="28"/>
          <w:szCs w:val="28"/>
        </w:rPr>
        <w:t>4. Responsabilités scientifiques </w:t>
      </w: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rFonts w:ascii="Arial" w:hAnsi="Arial" w:cs="Arial"/>
          <w:sz w:val="28"/>
          <w:szCs w:val="22"/>
        </w:rPr>
      </w:pPr>
      <w:r>
        <w:rPr>
          <w:rFonts w:ascii="Arial" w:hAnsi="Arial" w:cs="Arial"/>
          <w:sz w:val="28"/>
          <w:szCs w:val="22"/>
        </w:rPr>
        <w:t>Co-directrice, avec le Pr. Ch. ALBIGES, du laboratoire de droit privé de l’Université de Montpellier I</w:t>
      </w:r>
    </w:p>
    <w:p w:rsidR="00D71DFD" w:rsidRDefault="00D71DFD" w:rsidP="00D71DFD">
      <w:pPr>
        <w:rPr>
          <w:rFonts w:ascii="Arial" w:hAnsi="Arial" w:cs="Arial"/>
          <w:sz w:val="28"/>
          <w:szCs w:val="22"/>
        </w:rPr>
      </w:pPr>
    </w:p>
    <w:p w:rsidR="00D71DFD" w:rsidRDefault="00D71DFD" w:rsidP="00D71DFD">
      <w:pPr>
        <w:rPr>
          <w:rFonts w:ascii="Arial" w:hAnsi="Arial" w:cs="Arial"/>
          <w:bCs/>
          <w:color w:val="000000"/>
          <w:sz w:val="28"/>
          <w:szCs w:val="28"/>
        </w:rPr>
      </w:pPr>
      <w:r>
        <w:rPr>
          <w:rFonts w:ascii="Arial" w:hAnsi="Arial" w:cs="Arial"/>
          <w:sz w:val="28"/>
          <w:szCs w:val="22"/>
        </w:rPr>
        <w:t xml:space="preserve">Co-directrice </w:t>
      </w:r>
      <w:r>
        <w:rPr>
          <w:rFonts w:ascii="Arial" w:hAnsi="Arial" w:cs="Arial"/>
          <w:bCs/>
          <w:color w:val="000000"/>
          <w:sz w:val="28"/>
          <w:szCs w:val="28"/>
        </w:rPr>
        <w:t xml:space="preserve">avec le Pr. F. PEROCHON, de la chaire d’excellence « Prévention et traitement des difficultés des entreprises » au sein du </w:t>
      </w:r>
      <w:proofErr w:type="spellStart"/>
      <w:r>
        <w:rPr>
          <w:rFonts w:ascii="Arial" w:hAnsi="Arial" w:cs="Arial"/>
          <w:bCs/>
          <w:color w:val="000000"/>
          <w:sz w:val="28"/>
          <w:szCs w:val="28"/>
        </w:rPr>
        <w:t>Labex</w:t>
      </w:r>
      <w:proofErr w:type="spellEnd"/>
      <w:r>
        <w:rPr>
          <w:rFonts w:ascii="Arial" w:hAnsi="Arial" w:cs="Arial"/>
          <w:bCs/>
          <w:color w:val="000000"/>
          <w:sz w:val="28"/>
          <w:szCs w:val="28"/>
        </w:rPr>
        <w:t xml:space="preserve"> « Entreprendre »</w:t>
      </w:r>
    </w:p>
    <w:p w:rsidR="00D71DFD" w:rsidRDefault="00D71DFD" w:rsidP="00D71DFD">
      <w:pPr>
        <w:rPr>
          <w:rFonts w:ascii="Arial" w:hAnsi="Arial" w:cs="Arial"/>
          <w:bCs/>
          <w:color w:val="000000"/>
          <w:sz w:val="28"/>
          <w:szCs w:val="28"/>
        </w:rPr>
      </w:pPr>
    </w:p>
    <w:p w:rsidR="00D71DFD" w:rsidRDefault="00D71DFD" w:rsidP="00D71DFD">
      <w:pPr>
        <w:rPr>
          <w:rFonts w:ascii="Arial" w:hAnsi="Arial" w:cs="Arial"/>
          <w:bCs/>
          <w:color w:val="000000"/>
          <w:sz w:val="28"/>
          <w:szCs w:val="28"/>
        </w:rPr>
      </w:pPr>
      <w:r>
        <w:rPr>
          <w:rFonts w:ascii="Arial" w:hAnsi="Arial" w:cs="Arial"/>
          <w:bCs/>
          <w:color w:val="000000"/>
          <w:sz w:val="28"/>
          <w:szCs w:val="28"/>
        </w:rPr>
        <w:t>Titulaire de la chronique « Contrats spéciaux » au sein de la revue de droit animalier</w:t>
      </w:r>
    </w:p>
    <w:p w:rsidR="00D71DFD" w:rsidRDefault="00D71DFD" w:rsidP="00D71DFD">
      <w:pPr>
        <w:rPr>
          <w:rFonts w:ascii="Arial" w:hAnsi="Arial" w:cs="Arial"/>
          <w:bCs/>
          <w:color w:val="000000"/>
          <w:sz w:val="28"/>
          <w:szCs w:val="28"/>
        </w:rPr>
      </w:pPr>
    </w:p>
    <w:p w:rsidR="00D71DFD" w:rsidRDefault="00D71DFD" w:rsidP="00D71DFD">
      <w:pPr>
        <w:rPr>
          <w:rFonts w:ascii="Arial" w:hAnsi="Arial" w:cs="Arial"/>
          <w:bCs/>
          <w:color w:val="000000"/>
          <w:sz w:val="28"/>
          <w:szCs w:val="28"/>
        </w:rPr>
      </w:pPr>
      <w:r>
        <w:rPr>
          <w:rFonts w:ascii="Arial" w:hAnsi="Arial" w:cs="Arial"/>
          <w:bCs/>
          <w:color w:val="000000"/>
          <w:sz w:val="28"/>
          <w:szCs w:val="28"/>
        </w:rPr>
        <w:t>Responsable TICE de la faculté de droit</w:t>
      </w: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rPr>
          <w:sz w:val="22"/>
          <w:szCs w:val="22"/>
        </w:rPr>
      </w:pPr>
    </w:p>
    <w:p w:rsidR="00D71DFD" w:rsidRDefault="00D71DFD" w:rsidP="00D71DFD">
      <w:pPr>
        <w:pStyle w:val="Titre"/>
        <w:jc w:val="left"/>
        <w:rPr>
          <w:rFonts w:ascii="Arial" w:hAnsi="Arial" w:cs="Arial"/>
          <w:b/>
          <w:color w:val="800000"/>
          <w:sz w:val="28"/>
          <w:szCs w:val="28"/>
        </w:rPr>
      </w:pPr>
      <w:r>
        <w:rPr>
          <w:rFonts w:ascii="Arial" w:hAnsi="Arial" w:cs="Arial"/>
          <w:b/>
          <w:color w:val="800000"/>
          <w:sz w:val="28"/>
          <w:szCs w:val="28"/>
        </w:rPr>
        <w:t>C. INFORMATIONS SIGNIFICATIVES SUR LE DEROULEMENT DE LA CARRIERE</w:t>
      </w:r>
    </w:p>
    <w:p w:rsidR="00D71DFD" w:rsidRDefault="00D71DFD" w:rsidP="00D71DFD"/>
    <w:p w:rsidR="00D71DFD" w:rsidRDefault="00D71DFD" w:rsidP="00D71DFD">
      <w:pPr>
        <w:pBdr>
          <w:top w:val="single" w:sz="8" w:space="1" w:color="000000"/>
          <w:left w:val="single" w:sz="8" w:space="4" w:color="000000"/>
          <w:bottom w:val="single" w:sz="8" w:space="1" w:color="000000"/>
          <w:right w:val="single" w:sz="8" w:space="4" w:color="000000"/>
        </w:pBdr>
        <w:shd w:val="clear" w:color="auto" w:fill="CCFFFF"/>
        <w:rPr>
          <w:b/>
          <w:bCs/>
          <w:i/>
          <w:iCs/>
          <w:sz w:val="28"/>
          <w:szCs w:val="28"/>
        </w:rPr>
      </w:pPr>
      <w:r>
        <w:rPr>
          <w:b/>
          <w:bCs/>
          <w:i/>
          <w:iCs/>
          <w:sz w:val="28"/>
          <w:szCs w:val="28"/>
        </w:rPr>
        <w:t>Ne mentionner que les informations importantes et significatives ainsi que tous autres renseignements utiles pour apprécier l’activité scientifique ou toute situation particulière (mobilité géographique, thématique….)</w:t>
      </w:r>
    </w:p>
    <w:p w:rsidR="00D71DFD" w:rsidRDefault="00D71DFD" w:rsidP="00D71DFD">
      <w:pPr>
        <w:rPr>
          <w:sz w:val="22"/>
          <w:szCs w:val="22"/>
        </w:rPr>
      </w:pPr>
    </w:p>
    <w:p w:rsidR="00D71DFD" w:rsidRDefault="00D71DFD" w:rsidP="00D71DFD">
      <w:pPr>
        <w:pStyle w:val="Titre1"/>
        <w:keepNext w:val="0"/>
        <w:spacing w:before="0" w:after="0"/>
        <w:rPr>
          <w:rFonts w:eastAsia="Times New Roman" w:cs="Arial"/>
          <w:szCs w:val="22"/>
        </w:rPr>
      </w:pPr>
      <w:r>
        <w:rPr>
          <w:rFonts w:eastAsia="Times New Roman" w:cs="Arial"/>
          <w:szCs w:val="22"/>
        </w:rPr>
        <w:t>Bien qu’ayant rédigée une thèse dans le domaine de la propriété intellectuelle, j’ai accepté dans les années 1995 des enseignements en procédure à l’Université de Montpellier qui, à l’époque, ne disposait plus de spécialiste en ce domaine. Ceci m’a conduit à créer notamment un DESS de droit des procédures, devenu depuis le master de droit du contentieux, et à répondre à des demandes de recherche dans ce nouveau domaine de compétence.</w:t>
      </w:r>
    </w:p>
    <w:p w:rsidR="00D71DFD" w:rsidRDefault="00D71DFD" w:rsidP="00D71DFD">
      <w:pPr>
        <w:rPr>
          <w:rFonts w:ascii="Arial" w:hAnsi="Arial" w:cs="Arial"/>
          <w:sz w:val="28"/>
        </w:rPr>
      </w:pPr>
    </w:p>
    <w:p w:rsidR="009760BA" w:rsidRDefault="009760BA">
      <w:bookmarkStart w:id="1" w:name="_GoBack"/>
      <w:bookmarkEnd w:id="1"/>
    </w:p>
    <w:sectPr w:rsidR="00976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3541"/>
    <w:multiLevelType w:val="hybridMultilevel"/>
    <w:tmpl w:val="91981FE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79242D3E"/>
    <w:multiLevelType w:val="hybridMultilevel"/>
    <w:tmpl w:val="B04A9660"/>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FD"/>
    <w:rsid w:val="009760BA"/>
    <w:rsid w:val="00D71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F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D71DFD"/>
    <w:pPr>
      <w:tabs>
        <w:tab w:val="center" w:pos="4536"/>
        <w:tab w:val="right" w:pos="9072"/>
      </w:tabs>
    </w:pPr>
  </w:style>
  <w:style w:type="character" w:customStyle="1" w:styleId="En-tteCar">
    <w:name w:val="En-tête Car"/>
    <w:basedOn w:val="Policepardfaut"/>
    <w:link w:val="En-tte"/>
    <w:semiHidden/>
    <w:rsid w:val="00D71DFD"/>
    <w:rPr>
      <w:rFonts w:ascii="Times New Roman" w:eastAsia="Times New Roman" w:hAnsi="Times New Roman" w:cs="Times New Roman"/>
      <w:sz w:val="24"/>
      <w:szCs w:val="24"/>
      <w:lang w:eastAsia="ar-SA"/>
    </w:rPr>
  </w:style>
  <w:style w:type="paragraph" w:styleId="Titre">
    <w:name w:val="Title"/>
    <w:basedOn w:val="Normal"/>
    <w:next w:val="Sous-titre"/>
    <w:link w:val="TitreCar"/>
    <w:qFormat/>
    <w:rsid w:val="00D71DFD"/>
    <w:pPr>
      <w:jc w:val="center"/>
    </w:pPr>
    <w:rPr>
      <w:szCs w:val="20"/>
    </w:rPr>
  </w:style>
  <w:style w:type="character" w:customStyle="1" w:styleId="TitreCar">
    <w:name w:val="Titre Car"/>
    <w:basedOn w:val="Policepardfaut"/>
    <w:link w:val="Titre"/>
    <w:rsid w:val="00D71DFD"/>
    <w:rPr>
      <w:rFonts w:ascii="Times New Roman" w:eastAsia="Times New Roman" w:hAnsi="Times New Roman" w:cs="Times New Roman"/>
      <w:sz w:val="24"/>
      <w:szCs w:val="20"/>
      <w:lang w:eastAsia="ar-SA"/>
    </w:rPr>
  </w:style>
  <w:style w:type="paragraph" w:styleId="Corpsdetexte2">
    <w:name w:val="Body Text 2"/>
    <w:basedOn w:val="Normal"/>
    <w:link w:val="Corpsdetexte2Car"/>
    <w:semiHidden/>
    <w:unhideWhenUsed/>
    <w:rsid w:val="00D71DFD"/>
    <w:rPr>
      <w:rFonts w:ascii="Arial" w:hAnsi="Arial" w:cs="Arial"/>
      <w:bCs/>
      <w:color w:val="000000"/>
      <w:sz w:val="28"/>
      <w:szCs w:val="28"/>
    </w:rPr>
  </w:style>
  <w:style w:type="character" w:customStyle="1" w:styleId="Corpsdetexte2Car">
    <w:name w:val="Corps de texte 2 Car"/>
    <w:basedOn w:val="Policepardfaut"/>
    <w:link w:val="Corpsdetexte2"/>
    <w:semiHidden/>
    <w:rsid w:val="00D71DFD"/>
    <w:rPr>
      <w:rFonts w:ascii="Arial" w:eastAsia="Times New Roman" w:hAnsi="Arial" w:cs="Arial"/>
      <w:bCs/>
      <w:color w:val="000000"/>
      <w:sz w:val="28"/>
      <w:szCs w:val="28"/>
      <w:lang w:eastAsia="ar-SA"/>
    </w:rPr>
  </w:style>
  <w:style w:type="paragraph" w:styleId="Textedebulles">
    <w:name w:val="Balloon Text"/>
    <w:basedOn w:val="Normal"/>
    <w:link w:val="TextedebullesCar"/>
    <w:semiHidden/>
    <w:unhideWhenUsed/>
    <w:rsid w:val="00D71DFD"/>
    <w:rPr>
      <w:rFonts w:ascii="Tahoma" w:hAnsi="Tahoma" w:cs="Tahoma"/>
      <w:sz w:val="16"/>
      <w:szCs w:val="16"/>
    </w:rPr>
  </w:style>
  <w:style w:type="character" w:customStyle="1" w:styleId="TextedebullesCar">
    <w:name w:val="Texte de bulles Car"/>
    <w:basedOn w:val="Policepardfaut"/>
    <w:link w:val="Textedebulles"/>
    <w:semiHidden/>
    <w:rsid w:val="00D71DFD"/>
    <w:rPr>
      <w:rFonts w:ascii="Tahoma" w:eastAsia="Times New Roman" w:hAnsi="Tahoma" w:cs="Tahoma"/>
      <w:sz w:val="16"/>
      <w:szCs w:val="16"/>
      <w:lang w:eastAsia="ar-SA"/>
    </w:rPr>
  </w:style>
  <w:style w:type="paragraph" w:styleId="Paragraphedeliste">
    <w:name w:val="List Paragraph"/>
    <w:basedOn w:val="Normal"/>
    <w:qFormat/>
    <w:rsid w:val="00D71DFD"/>
    <w:pPr>
      <w:suppressAutoHyphens w:val="0"/>
      <w:ind w:left="708"/>
    </w:pPr>
    <w:rPr>
      <w:lang w:eastAsia="fr-FR"/>
    </w:rPr>
  </w:style>
  <w:style w:type="paragraph" w:customStyle="1" w:styleId="Titre1">
    <w:name w:val="Titre1"/>
    <w:basedOn w:val="Normal"/>
    <w:next w:val="Corpsdetexte"/>
    <w:rsid w:val="00D71DFD"/>
    <w:pPr>
      <w:keepNext/>
      <w:spacing w:before="240" w:after="120"/>
    </w:pPr>
    <w:rPr>
      <w:rFonts w:ascii="Arial" w:eastAsia="DejaVu Sans" w:hAnsi="Arial" w:cs="DejaVu Sans"/>
      <w:sz w:val="28"/>
      <w:szCs w:val="28"/>
    </w:rPr>
  </w:style>
  <w:style w:type="paragraph" w:styleId="Sous-titre">
    <w:name w:val="Subtitle"/>
    <w:basedOn w:val="Normal"/>
    <w:next w:val="Normal"/>
    <w:link w:val="Sous-titreCar"/>
    <w:uiPriority w:val="11"/>
    <w:qFormat/>
    <w:rsid w:val="00D71DFD"/>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71DFD"/>
    <w:rPr>
      <w:rFonts w:asciiTheme="majorHAnsi" w:eastAsiaTheme="majorEastAsia" w:hAnsiTheme="majorHAnsi" w:cstheme="majorBidi"/>
      <w:i/>
      <w:iCs/>
      <w:color w:val="4F81BD" w:themeColor="accent1"/>
      <w:spacing w:val="15"/>
      <w:sz w:val="24"/>
      <w:szCs w:val="24"/>
      <w:lang w:eastAsia="ar-SA"/>
    </w:rPr>
  </w:style>
  <w:style w:type="paragraph" w:styleId="Corpsdetexte">
    <w:name w:val="Body Text"/>
    <w:basedOn w:val="Normal"/>
    <w:link w:val="CorpsdetexteCar"/>
    <w:uiPriority w:val="99"/>
    <w:semiHidden/>
    <w:unhideWhenUsed/>
    <w:rsid w:val="00D71DFD"/>
    <w:pPr>
      <w:spacing w:after="120"/>
    </w:pPr>
  </w:style>
  <w:style w:type="character" w:customStyle="1" w:styleId="CorpsdetexteCar">
    <w:name w:val="Corps de texte Car"/>
    <w:basedOn w:val="Policepardfaut"/>
    <w:link w:val="Corpsdetexte"/>
    <w:uiPriority w:val="99"/>
    <w:semiHidden/>
    <w:rsid w:val="00D71DF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F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D71DFD"/>
    <w:pPr>
      <w:tabs>
        <w:tab w:val="center" w:pos="4536"/>
        <w:tab w:val="right" w:pos="9072"/>
      </w:tabs>
    </w:pPr>
  </w:style>
  <w:style w:type="character" w:customStyle="1" w:styleId="En-tteCar">
    <w:name w:val="En-tête Car"/>
    <w:basedOn w:val="Policepardfaut"/>
    <w:link w:val="En-tte"/>
    <w:semiHidden/>
    <w:rsid w:val="00D71DFD"/>
    <w:rPr>
      <w:rFonts w:ascii="Times New Roman" w:eastAsia="Times New Roman" w:hAnsi="Times New Roman" w:cs="Times New Roman"/>
      <w:sz w:val="24"/>
      <w:szCs w:val="24"/>
      <w:lang w:eastAsia="ar-SA"/>
    </w:rPr>
  </w:style>
  <w:style w:type="paragraph" w:styleId="Titre">
    <w:name w:val="Title"/>
    <w:basedOn w:val="Normal"/>
    <w:next w:val="Sous-titre"/>
    <w:link w:val="TitreCar"/>
    <w:qFormat/>
    <w:rsid w:val="00D71DFD"/>
    <w:pPr>
      <w:jc w:val="center"/>
    </w:pPr>
    <w:rPr>
      <w:szCs w:val="20"/>
    </w:rPr>
  </w:style>
  <w:style w:type="character" w:customStyle="1" w:styleId="TitreCar">
    <w:name w:val="Titre Car"/>
    <w:basedOn w:val="Policepardfaut"/>
    <w:link w:val="Titre"/>
    <w:rsid w:val="00D71DFD"/>
    <w:rPr>
      <w:rFonts w:ascii="Times New Roman" w:eastAsia="Times New Roman" w:hAnsi="Times New Roman" w:cs="Times New Roman"/>
      <w:sz w:val="24"/>
      <w:szCs w:val="20"/>
      <w:lang w:eastAsia="ar-SA"/>
    </w:rPr>
  </w:style>
  <w:style w:type="paragraph" w:styleId="Corpsdetexte2">
    <w:name w:val="Body Text 2"/>
    <w:basedOn w:val="Normal"/>
    <w:link w:val="Corpsdetexte2Car"/>
    <w:semiHidden/>
    <w:unhideWhenUsed/>
    <w:rsid w:val="00D71DFD"/>
    <w:rPr>
      <w:rFonts w:ascii="Arial" w:hAnsi="Arial" w:cs="Arial"/>
      <w:bCs/>
      <w:color w:val="000000"/>
      <w:sz w:val="28"/>
      <w:szCs w:val="28"/>
    </w:rPr>
  </w:style>
  <w:style w:type="character" w:customStyle="1" w:styleId="Corpsdetexte2Car">
    <w:name w:val="Corps de texte 2 Car"/>
    <w:basedOn w:val="Policepardfaut"/>
    <w:link w:val="Corpsdetexte2"/>
    <w:semiHidden/>
    <w:rsid w:val="00D71DFD"/>
    <w:rPr>
      <w:rFonts w:ascii="Arial" w:eastAsia="Times New Roman" w:hAnsi="Arial" w:cs="Arial"/>
      <w:bCs/>
      <w:color w:val="000000"/>
      <w:sz w:val="28"/>
      <w:szCs w:val="28"/>
      <w:lang w:eastAsia="ar-SA"/>
    </w:rPr>
  </w:style>
  <w:style w:type="paragraph" w:styleId="Textedebulles">
    <w:name w:val="Balloon Text"/>
    <w:basedOn w:val="Normal"/>
    <w:link w:val="TextedebullesCar"/>
    <w:semiHidden/>
    <w:unhideWhenUsed/>
    <w:rsid w:val="00D71DFD"/>
    <w:rPr>
      <w:rFonts w:ascii="Tahoma" w:hAnsi="Tahoma" w:cs="Tahoma"/>
      <w:sz w:val="16"/>
      <w:szCs w:val="16"/>
    </w:rPr>
  </w:style>
  <w:style w:type="character" w:customStyle="1" w:styleId="TextedebullesCar">
    <w:name w:val="Texte de bulles Car"/>
    <w:basedOn w:val="Policepardfaut"/>
    <w:link w:val="Textedebulles"/>
    <w:semiHidden/>
    <w:rsid w:val="00D71DFD"/>
    <w:rPr>
      <w:rFonts w:ascii="Tahoma" w:eastAsia="Times New Roman" w:hAnsi="Tahoma" w:cs="Tahoma"/>
      <w:sz w:val="16"/>
      <w:szCs w:val="16"/>
      <w:lang w:eastAsia="ar-SA"/>
    </w:rPr>
  </w:style>
  <w:style w:type="paragraph" w:styleId="Paragraphedeliste">
    <w:name w:val="List Paragraph"/>
    <w:basedOn w:val="Normal"/>
    <w:qFormat/>
    <w:rsid w:val="00D71DFD"/>
    <w:pPr>
      <w:suppressAutoHyphens w:val="0"/>
      <w:ind w:left="708"/>
    </w:pPr>
    <w:rPr>
      <w:lang w:eastAsia="fr-FR"/>
    </w:rPr>
  </w:style>
  <w:style w:type="paragraph" w:customStyle="1" w:styleId="Titre1">
    <w:name w:val="Titre1"/>
    <w:basedOn w:val="Normal"/>
    <w:next w:val="Corpsdetexte"/>
    <w:rsid w:val="00D71DFD"/>
    <w:pPr>
      <w:keepNext/>
      <w:spacing w:before="240" w:after="120"/>
    </w:pPr>
    <w:rPr>
      <w:rFonts w:ascii="Arial" w:eastAsia="DejaVu Sans" w:hAnsi="Arial" w:cs="DejaVu Sans"/>
      <w:sz w:val="28"/>
      <w:szCs w:val="28"/>
    </w:rPr>
  </w:style>
  <w:style w:type="paragraph" w:styleId="Sous-titre">
    <w:name w:val="Subtitle"/>
    <w:basedOn w:val="Normal"/>
    <w:next w:val="Normal"/>
    <w:link w:val="Sous-titreCar"/>
    <w:uiPriority w:val="11"/>
    <w:qFormat/>
    <w:rsid w:val="00D71DFD"/>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71DFD"/>
    <w:rPr>
      <w:rFonts w:asciiTheme="majorHAnsi" w:eastAsiaTheme="majorEastAsia" w:hAnsiTheme="majorHAnsi" w:cstheme="majorBidi"/>
      <w:i/>
      <w:iCs/>
      <w:color w:val="4F81BD" w:themeColor="accent1"/>
      <w:spacing w:val="15"/>
      <w:sz w:val="24"/>
      <w:szCs w:val="24"/>
      <w:lang w:eastAsia="ar-SA"/>
    </w:rPr>
  </w:style>
  <w:style w:type="paragraph" w:styleId="Corpsdetexte">
    <w:name w:val="Body Text"/>
    <w:basedOn w:val="Normal"/>
    <w:link w:val="CorpsdetexteCar"/>
    <w:uiPriority w:val="99"/>
    <w:semiHidden/>
    <w:unhideWhenUsed/>
    <w:rsid w:val="00D71DFD"/>
    <w:pPr>
      <w:spacing w:after="120"/>
    </w:pPr>
  </w:style>
  <w:style w:type="character" w:customStyle="1" w:styleId="CorpsdetexteCar">
    <w:name w:val="Corps de texte Car"/>
    <w:basedOn w:val="Policepardfaut"/>
    <w:link w:val="Corpsdetexte"/>
    <w:uiPriority w:val="99"/>
    <w:semiHidden/>
    <w:rsid w:val="00D71DF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LDP</dc:creator>
  <cp:lastModifiedBy>LDP</cp:lastModifiedBy>
  <cp:revision>1</cp:revision>
  <dcterms:created xsi:type="dcterms:W3CDTF">2013-05-30T10:00:00Z</dcterms:created>
  <dcterms:modified xsi:type="dcterms:W3CDTF">2013-05-30T10:00:00Z</dcterms:modified>
</cp:coreProperties>
</file>